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8e0a62be04b8ea659cf204dec8d74df98d25a4"/>
    <w:p>
      <w:pPr>
        <w:pStyle w:val="Heading3"/>
      </w:pPr>
      <w:r>
        <w:t xml:space="preserve">Предпринимателям столицы расскажут о налоговых изменениях в законодательстве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Полученные знания помогут адаптироваться к новым условиям налогообложения и эффективно управлять бизнесом.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Налоговая реформа 2025 года является одним из самых обсуждаемых вопросов, который затрагивает предпринимательское сообщество. Не только начинающему бизнесмену, но и опытному может быть непросто разобраться во всех тонкостях нововведений и их применении в своей деятельности. Поэтому Правительство Москвы проводит цикл мероприятий, посвященных ключевым налоговым изменениям в законодательстве и налоговой амнистии для предпринимателей столицы. Полученные знания помогут эффективно управлять бизнесом в условиях изменившейся правовой среды.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Спикеры практических семинаров — действующие налоговые эксперты и консультанты, представители Федеральной налоговой службы России. Мероприятия будут полезны владельцам ООО, индивидуальным предпринимателям, а также руководителям и финансовым специалистам компаний.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Ближайший практический семинар пройдет 20 марта. На него приглашают слушателей вне зависимости от сферы деятельности. Им расскажут, как применяется налоговая амнистия при дроблении бизнеса: его критерии и признаки, правила налоговой амнистии и возможные способы обеления. Также слушатели узнают, какие шаги нужно предпринять в этом направлении в текущем 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спикеры раскроют нюансы и других налоговых изменений, которые напрямую оказывают влияние на столичный бизнес, включая введение налога на добавленную стоимость (НДС) для плательщиков упрощенной системы налогообложения (УСН).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27 марта на одной площадке соберутся действующие представители розничной торговли. Эксперты расскажут о нововведениях на примере кейсов, актуальных для торгового бизнеса, а также ответят на вопросы участников.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 и 16 апреля пройдут два семинара, посвященные введению НДС для УСН. Участников ждут обзор налоговых изменений для малого и среднего предпринимательства (МСП), разбор спорных вопросов применения НДС плательщиками УСН. Также спикеры расскажут о порядке исчисления и уплаты НДС и способах добровольного отказа от дробления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следующем месяце также состоятся три отраслевые встречи по налоговой амнистии: 9 апреля семинар будет полезен предпринимателям сферы услуг, 21 апреля — тем, кто занимается поставками B2G. 24 апреля приглашают коммерсантов, предоставляющих услуги для 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задать интересующие вопросы спикерам по налоговой амнистии при дроблении бизнеса и введению НДС для плательщиков УСН можно заранее, заполнив форму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Чтобы стать участником любого из семинаров очно или онлайн, необходимо 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 на портале mbm.mos.ru. Выбрать подходящее мероприятие можно в разделе «Обучение». Также все встречи будут доступны в онлайн-трансляции </w:t>
      </w:r>
      <w:hyperlink r:id="rId22">
        <w:r>
          <w:rPr>
            <w:rStyle w:val="Hyperlink"/>
          </w:rPr>
          <w:t xml:space="preserve">на портале mbm.mos.ru</w:t>
        </w:r>
      </w:hyperlink>
      <w:r>
        <w:t xml:space="preserve"> и в социальной сети </w:t>
      </w:r>
      <w:hyperlink r:id="rId23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Цикл мероприятий «Налоговая реформа — 2025» проходит на площадке «Цифровое деловое пространство» по адресу: улица Покровка, дом 47.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Москве предпринимателям доступен комплекс мер поддержки, включающий финансовые и нефинансовые инструменты, которые формируются исходя из запросов и нужд бизнесменов.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финансовых мер — региональные программы льготного кредитования и льготного факторинга, поручительства по кредитным обязательствам бизнеса, которые решают проблему нехватки собственного залогового обеспечения у субъектов МСП, а также субсидии и гранты.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Доступны предпринимателям и нефинансовые меры поддержки для создания и развития своего дела. Например, консультационно-методическая поддержка по различным вопросам организации и ведения бизнеса. Образовательная поддержка включает в себя обучающие программы по созданию и ведению своего дела, развитию предпринимательских навыков и компетенций, бизнес-литературу, а 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 </w:t>
      </w:r>
      <w:hyperlink r:id="rId24">
        <w:r>
          <w:rPr>
            <w:rStyle w:val="Hyperlink"/>
          </w:rPr>
          <w:t xml:space="preserve">нацпроекта 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http://brateevo.mos.ru/presscenter/officially/detail/12861881.html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861881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1&amp;themes=%5b11485051%5d" TargetMode="External" /><Relationship Type="http://schemas.openxmlformats.org/officeDocument/2006/relationships/hyperlink" Id="rId23" Target="https://vk.com/mbmru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861881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1&amp;themes=%5b11485051%5d" TargetMode="External" /><Relationship Type="http://schemas.openxmlformats.org/officeDocument/2006/relationships/hyperlink" Id="rId23" Target="https://vk.com/mbmru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2025-04-10T01:30:55Z</dcterms:created>
  <dcterms:modified xsi:type="dcterms:W3CDTF">2025-04-10T01:30:55Z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