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738e1971078024a256f267f093946ee4e3e672c"/>
    <w:p>
      <w:pPr>
        <w:pStyle w:val="Heading3"/>
      </w:pPr>
      <w:r>
        <w:t xml:space="preserve">Обучение бизнес-процессам и выгодная аренда: какую помощь оказывают предпринимателям в Москве</w:t>
      </w:r>
    </w:p>
    <w:p>
      <w:pPr>
        <w:pStyle w:val="FirstParagraph"/>
      </w:pPr>
      <w:r>
        <w:t xml:space="preserve">25.10.2024</w:t>
      </w:r>
    </w:p>
    <w:p>
      <w:pPr>
        <w:pStyle w:val="BodyText"/>
      </w:pPr>
      <w:r>
        <w:t xml:space="preserve">Столичные меры поддержки помогают малому и среднему бизнесу сохранять социальную направленность и обретать постоянных клиентов.</w:t>
      </w:r>
    </w:p>
    <w:p>
      <w:pPr>
        <w:pStyle w:val="BodyText"/>
      </w:pPr>
      <w:r>
        <w:t xml:space="preserve"> </w:t>
      </w:r>
    </w:p>
    <w:p>
      <w:pPr>
        <w:pStyle w:val="BodyText"/>
      </w:pPr>
      <w:r>
        <w:t xml:space="preserve">Открывать бизнес, расширять свое присутствие на рынке, внедрять новые технологии и сохранять высокое качество товаров и услуг — эти и другие важные задачи помогают решать предприятиям малого и среднего бизнеса городские меры поддержки. Они могут быть финансовыми и нефинансовыми. Благодаря помощи города предприниматели имеют возможность арендовать помещения по выгодным ставкам, получать льготные условия кредитования. Им доступны онлайн-сервисы, созданные специально для бизнес-сообщества, и своевременные консультации экспертов. Кроме того, предприниматели могут восполнить пробелы в знаниях, мешающие развитию своего дела, благодаря участию в бесплатных образовательных программах и на бесплатных курсах.</w:t>
      </w:r>
    </w:p>
    <w:p>
      <w:pPr>
        <w:pStyle w:val="BodyText"/>
      </w:pPr>
      <w:r>
        <w:t xml:space="preserve"> </w:t>
      </w:r>
    </w:p>
    <w:p>
      <w:pPr>
        <w:pStyle w:val="BodyText"/>
      </w:pPr>
      <w:r>
        <w:t xml:space="preserve">«Это позволяет экономить средства и силы, нужные для запуска и развития дела. Но особо важно, что городские меры поддержки помогают малому и среднему бизнесу сохранять социальную направленность и обретать постоянных и верных клиентов, организуя акции со скидками и бонусами, обслуживая по сниженным ценам горожан, имеющих право на льготы, участвуя в городских проектах», — отметил Министр Правительства Москвы, руководитель Департамента торговли и услуг </w:t>
      </w:r>
      <w:r>
        <w:rPr>
          <w:bCs/>
          <w:b/>
        </w:rPr>
        <w:t xml:space="preserve">Алексей Немерюк</w:t>
      </w:r>
      <w:r>
        <w:t xml:space="preserve">.</w:t>
      </w:r>
    </w:p>
    <w:p>
      <w:pPr>
        <w:pStyle w:val="BodyText"/>
      </w:pPr>
      <w:r>
        <w:t xml:space="preserve"> </w:t>
      </w:r>
    </w:p>
    <w:p>
      <w:pPr>
        <w:pStyle w:val="BodyText"/>
      </w:pPr>
      <w:r>
        <w:t xml:space="preserve">Например, компании малого и среднего бизнеса активно участвуют в программе лояльности карты москвича. Они предоставляют держателям карт, а это граждане льготных категорий, скидки на свою продукцию и услуги. Информация о предложениях партнеров размещается на городских ресурсах: портале mos.ru, в социальных сетях проекта «Карта москвича», информационных рассылках и печатных каталогах. Таким образом формируется социальное партнерство между предпринимателями, городом и жителями.</w:t>
      </w:r>
    </w:p>
    <w:p>
      <w:pPr>
        <w:pStyle w:val="BodyText"/>
      </w:pPr>
      <w:r>
        <w:t xml:space="preserve"> </w:t>
      </w:r>
    </w:p>
    <w:p>
      <w:pPr>
        <w:pStyle w:val="BodyText"/>
      </w:pPr>
      <w:r>
        <w:t xml:space="preserve">К дисконтной программе могут присоединиться организации, желающие стать частью социальной программы города. Для этого необходимо заполнить заявку </w:t>
      </w:r>
      <w:hyperlink r:id="rId20">
        <w:r>
          <w:rPr>
            <w:rStyle w:val="Hyperlink"/>
          </w:rPr>
          <w:t xml:space="preserve">на портале mos.ru</w:t>
        </w:r>
      </w:hyperlink>
      <w:r>
        <w:t xml:space="preserve"> или позвонить по телефону: +7 499 755⁠-06⁠-50 (добавочный 269).</w:t>
      </w:r>
    </w:p>
    <w:p>
      <w:pPr>
        <w:pStyle w:val="BodyText"/>
      </w:pPr>
      <w:r>
        <w:t xml:space="preserve"> </w:t>
      </w:r>
    </w:p>
    <w:p>
      <w:pPr>
        <w:pStyle w:val="BodyText"/>
      </w:pPr>
      <w:r>
        <w:t xml:space="preserve">Предприятия малого и среднего бизнеса участвуют в социальных городских мероприятиях. В этом году с 1 августа по 30 сентября в Москве проходила акция «Соберем ребенка в школу». В течение двух месяцев семьям с детьми оказывалась дополнительная помощь. К акции присоединились парикмахерские, салоны красоты и ателье по ремонту и пошиву одежды, получающие меры поддержки в виде льготной ставки арендной платы. Они предоставляли скидки от 10 до 30 процентов детям из многодетных и малообеспеченных семей, детям с ограниченными возможностями здоровья и детям участников специальной военной операции. Всего в акции приняла участие 71 парикмахерская, а также к ней присоединились 14 ателье по ремонту и пошиву одежды.</w:t>
      </w:r>
    </w:p>
    <w:p>
      <w:pPr>
        <w:pStyle w:val="BodyText"/>
      </w:pPr>
      <w:r>
        <w:t xml:space="preserve"> </w:t>
      </w:r>
    </w:p>
    <w:bookmarkEnd w:id="21"/>
    <w:bookmarkStart w:id="24" w:name="X20cb35abf99cd20bdbb9aae43f4677ca527e86e"/>
    <w:p>
      <w:pPr>
        <w:pStyle w:val="Heading2"/>
      </w:pPr>
      <w:r>
        <w:rPr>
          <w:bCs/>
          <w:b/>
        </w:rPr>
        <w:t xml:space="preserve">Ценные советы экспертов и бесплатное обучение</w:t>
      </w:r>
    </w:p>
    <w:p>
      <w:pPr>
        <w:pStyle w:val="FirstParagraph"/>
      </w:pPr>
      <w:r>
        <w:t xml:space="preserve"> </w:t>
      </w:r>
    </w:p>
    <w:p>
      <w:pPr>
        <w:pStyle w:val="BodyText"/>
      </w:pPr>
      <w:r>
        <w:t xml:space="preserve">Представители делового сообщества в Москве могут воспользоваться различными видами нефинансовой помощи, например, обратиться за бесплатными консультациями к специалистам ГБУ «Малый бизнес Москвы» (МБМ). Эксперты помогут разобраться во многих вопросах, связанных с запуском и развитием бизнеса. Среди них налогообложение, бухгалтерский учет, участие в госзакупках, планирование рекламных кампаний, оптимизация процессов и многое другое. Всего специалисты консультируют более чем по 100 темам. После подробных разъяснений предпринимателям проще открыть свое дело, заключить желаемые контракты и вывести бизнес на новый уровень развития. У них есть несколько способов получить консультацию: на портале mbm.mos.ru, по телефону: +7 495 225⁠-14⁠-14 и лично в центрах услуг для бизнеса, расположенных в разных округах Москвы, в том числе в восьми флагманских офисах «Мои документы» и налоговой инспекции № 46 (Проходной проезд, дом 3, строение 2). Подробнее о консультационной поддержке можно узнать </w:t>
      </w:r>
      <w:hyperlink r:id="rId22">
        <w:r>
          <w:rPr>
            <w:rStyle w:val="Hyperlink"/>
          </w:rPr>
          <w:t xml:space="preserve">на портале mbm.mos.ru</w:t>
        </w:r>
      </w:hyperlink>
      <w:r>
        <w:t xml:space="preserve">.</w:t>
      </w:r>
    </w:p>
    <w:p>
      <w:pPr>
        <w:pStyle w:val="BodyText"/>
      </w:pPr>
      <w:r>
        <w:t xml:space="preserve"> </w:t>
      </w:r>
    </w:p>
    <w:p>
      <w:pPr>
        <w:pStyle w:val="BodyText"/>
      </w:pPr>
      <w:r>
        <w:t xml:space="preserve">Предприниматели также могут пользоваться онлайн-сервисами на портале МБМ — всего их более 35. Эти сервисы помогают открывать и вести бизнес, способствуют его эффективному развитию. Полезный сервис практически для каждого предпринимателя — «Оценка потенциала локации». Он позволяет оценить рынок и в дальнейшем найти удачное место для размещения торговой точки или заведения, где много потенциальных клиентов. Для начинающих бизнесменов, а также для действующих предпринимателей, которые хотят попробовать новые инструменты для развития своего дела, будет полезен онлайн-сервис «Бизнес-боксы». В нем представлены бесплатные пакетные предложения лидеров отечественного рынка. Сервис «Проверь законность вывески» поможет бизнесменам убедиться, соответствует ли их уличная вывеска правилам, а если есть нарушения — в какие сроки их нужно устранить.</w:t>
      </w:r>
    </w:p>
    <w:p>
      <w:pPr>
        <w:pStyle w:val="BodyText"/>
      </w:pPr>
      <w:r>
        <w:t xml:space="preserve"> </w:t>
      </w:r>
    </w:p>
    <w:p>
      <w:pPr>
        <w:pStyle w:val="BodyText"/>
      </w:pPr>
      <w:r>
        <w:t xml:space="preserve">Более подробную информацию о каждом онлайн-сервисе можно узнать </w:t>
      </w:r>
      <w:hyperlink r:id="rId23">
        <w:r>
          <w:rPr>
            <w:rStyle w:val="Hyperlink"/>
          </w:rPr>
          <w:t xml:space="preserve">здесь</w:t>
        </w:r>
      </w:hyperlink>
      <w:r>
        <w:t xml:space="preserve">.</w:t>
      </w:r>
    </w:p>
    <w:p>
      <w:pPr>
        <w:pStyle w:val="BodyText"/>
      </w:pPr>
      <w:r>
        <w:t xml:space="preserve"> </w:t>
      </w:r>
    </w:p>
    <w:p>
      <w:pPr>
        <w:pStyle w:val="BodyText"/>
      </w:pPr>
      <w:r>
        <w:t xml:space="preserve">У столичных бизнесменов есть возможность постоянно получать новые знания и развивать профессиональные компетенции. Большой выбор бесплатных обучающих программ предлагает МБМ. Например, действующие предприниматели могут пройти двухмесячную программу «Прокачай свой бизнес вместе с наставником». Обучение помогает участникам вывести свое дело на новый уровень. На занятиях наставники помогают выявить возможности для развития дела и улучшить показатели. Для начинающих предпринимателей действует программа «Школа бизнеса МБМ». Слушатели занимаются поиском идей, прорабатывают юридические и бухгалтерские вопросы, изучают основы маркетинга.</w:t>
      </w:r>
    </w:p>
    <w:p>
      <w:pPr>
        <w:pStyle w:val="BodyText"/>
      </w:pPr>
      <w:r>
        <w:t xml:space="preserve"> </w:t>
      </w:r>
    </w:p>
    <w:bookmarkEnd w:id="24"/>
    <w:bookmarkStart w:id="29" w:name="X77cc7136986a5453b98d0f9e1a951993784b687"/>
    <w:p>
      <w:pPr>
        <w:pStyle w:val="Heading2"/>
      </w:pPr>
      <w:r>
        <w:rPr>
          <w:bCs/>
          <w:b/>
        </w:rPr>
        <w:t xml:space="preserve">Льготное кредитование, факторинг и помощь экспортерам</w:t>
      </w:r>
    </w:p>
    <w:p>
      <w:pPr>
        <w:pStyle w:val="FirstParagraph"/>
      </w:pPr>
      <w:r>
        <w:t xml:space="preserve"> </w:t>
      </w:r>
    </w:p>
    <w:p>
      <w:pPr>
        <w:pStyle w:val="BodyText"/>
      </w:pPr>
      <w:r>
        <w:t xml:space="preserve">Предприятия малого и среднего бизнеса столицы могут претендовать на финансовые меры поддержки от города. Например, в Москве продолжают действовать программы льготного кредитования, а также реализуется новая программа поддержки экспортеров. Соответствующее постановление подписал в июле этого года Сергей Собянин. Действие программ льготного кредитования — это важный дополнительный импульс для развития компаний.</w:t>
      </w:r>
    </w:p>
    <w:p>
      <w:pPr>
        <w:pStyle w:val="BodyText"/>
      </w:pPr>
      <w:r>
        <w:t xml:space="preserve"> </w:t>
      </w:r>
    </w:p>
    <w:p>
      <w:pPr>
        <w:pStyle w:val="BodyText"/>
      </w:pPr>
      <w:r>
        <w:t xml:space="preserve">Прежде всего льготные кредиты могут получить предприятия, которые работают в приоритетных для столицы отраслях. К ним относятся производство, информационные технологии, инновации, высокотехнологичные отрасли, экспорт, креативные индустрии, социальное предпринимательство. Такие компании могут воспользоваться кредитом в банке (до 30 миллионов рублей по льготной ставке 14,5 процента). Партнерами этой программы выступают ПАО «Сбербанк России», ПАО «Совкомбанк», ПАО «Росбанк», ПАО «Банк ВТБ», ПАО «Промсвязьбанк» </w:t>
      </w:r>
      <w:hyperlink r:id="rId25">
        <w:r>
          <w:rPr>
            <w:rStyle w:val="Hyperlink"/>
          </w:rPr>
          <w:t xml:space="preserve">и другие российские банки</w:t>
        </w:r>
      </w:hyperlink>
      <w:r>
        <w:t xml:space="preserve">.</w:t>
      </w:r>
    </w:p>
    <w:p>
      <w:pPr>
        <w:pStyle w:val="BodyText"/>
      </w:pPr>
      <w:r>
        <w:t xml:space="preserve"> </w:t>
      </w:r>
    </w:p>
    <w:p>
      <w:pPr>
        <w:pStyle w:val="BodyText"/>
      </w:pPr>
      <w:r>
        <w:t xml:space="preserve">Финансовую помощь в Москве оказывают и начинающим бизнесменам, работающим менее одного года. Им доступен банковский кредит до пяти миллионов рублей по льготной ставке 13,5 процента.</w:t>
      </w:r>
    </w:p>
    <w:p>
      <w:pPr>
        <w:pStyle w:val="BodyText"/>
      </w:pPr>
      <w:r>
        <w:t xml:space="preserve"> </w:t>
      </w:r>
    </w:p>
    <w:p>
      <w:pPr>
        <w:pStyle w:val="BodyText"/>
      </w:pPr>
      <w:r>
        <w:t xml:space="preserve">Еще одна мера поддержки — льготные кредиты под залог прав на интеллектуальную собственность. Заемщики могут получить до 50 миллионов рублей при наличии патентов или свидетельств регистрации программ для электронных вычислительных машин. Ставка для них составит пять процентов. Если таких документов нет, то кредит предоставят по ставке 8,5 процента.</w:t>
      </w:r>
    </w:p>
    <w:p>
      <w:pPr>
        <w:pStyle w:val="BodyText"/>
      </w:pPr>
      <w:r>
        <w:t xml:space="preserve"> </w:t>
      </w:r>
    </w:p>
    <w:p>
      <w:pPr>
        <w:pStyle w:val="BodyText"/>
      </w:pPr>
      <w:r>
        <w:t xml:space="preserve">В этом году появилась новая программа льготного кредитования для предпринимателей, занимающихся экспортной деятельностью. Компании могут взять кредит до 100 миллионов рублей по ставке 11,5 процента. Средства должны быть направлены</w:t>
      </w:r>
      <w:r>
        <w:rPr>
          <w:iCs/>
          <w:i/>
        </w:rPr>
        <w:t xml:space="preserve"> </w:t>
      </w:r>
      <w:r>
        <w:t xml:space="preserve">на пополнение оборотных средств, связанных с производством и поставкой продукции в рамках </w:t>
      </w:r>
      <w:hyperlink r:id="rId26">
        <w:r>
          <w:rPr>
            <w:rStyle w:val="Hyperlink"/>
          </w:rPr>
          <w:t xml:space="preserve">экспортного контракта</w:t>
        </w:r>
      </w:hyperlink>
      <w:r>
        <w:t xml:space="preserve">.</w:t>
      </w:r>
    </w:p>
    <w:p>
      <w:pPr>
        <w:pStyle w:val="BodyText"/>
      </w:pPr>
      <w:r>
        <w:t xml:space="preserve"> </w:t>
      </w:r>
    </w:p>
    <w:p>
      <w:pPr>
        <w:pStyle w:val="BodyText"/>
      </w:pPr>
      <w:r>
        <w:t xml:space="preserve">Также в Москве действует программа льготного факторинга. Она предназначена для предприятий малого и среднего бизнеса, реализующих продукцию в рассрочку. Факторинг — это финансовый инструмент, который является альтернативой кредита. Его суть заключается в том, что с компанией-поставщиком сразу после отгрузки товара расплачивается не покупатель, а банк или факторинговая компания. Затем покупатели переводят деньги на счет фактора, то есть той организации, которая заплатила за поставщика. Таким образом, предприятия, которые отгружают продукцию на условиях отсрочки платежа, не сталкиваются с нехваткой средств на счетах. Сейчас столичные предприниматели, работающие в приоритетных отраслях, могут заключить договоры льготного факторинга на сумму до 100 миллионов рублей по ставке 15,5 процента годовых. Этой мерой поддержки активно пользуются московские компании. Они заключили уже более тысячи договоров факторинга на общую сумму 68 миллиардов рублей.</w:t>
      </w:r>
    </w:p>
    <w:p>
      <w:pPr>
        <w:pStyle w:val="BodyText"/>
      </w:pPr>
      <w:r>
        <w:t xml:space="preserve"> </w:t>
      </w:r>
    </w:p>
    <w:p>
      <w:pPr>
        <w:pStyle w:val="BodyText"/>
      </w:pPr>
      <w:r>
        <w:t xml:space="preserve">Предприниматели, украшающие свои объекты, могут получить грант на оформление 100 первым от Департамента предпринимательства и инновационного развития города Москвы. Эта мера поддержки предусмотрена для тех, кто работает в таких сферах, как общественное питание, торговля, гостиничный бизнес и оказание услуг. Денежное вознаграждение можно получить за красивое оформление витрин, окон, фасадов, входов в нежилых объектах, расположенных на первых этажах зданий и выходящих на улицу. Это могут быть кафе, рестораны, салоны красоты, магазины и другие заведения.</w:t>
      </w:r>
    </w:p>
    <w:p>
      <w:pPr>
        <w:pStyle w:val="BodyText"/>
      </w:pPr>
      <w:r>
        <w:t xml:space="preserve"> </w:t>
      </w:r>
    </w:p>
    <w:p>
      <w:pPr>
        <w:pStyle w:val="BodyText"/>
      </w:pPr>
      <w:r>
        <w:t xml:space="preserve">Сейчас у бизнесменов есть возможность получить этот грант за новогоднее оформление </w:t>
      </w:r>
      <w:hyperlink r:id="rId27">
        <w:r>
          <w:rPr>
            <w:rStyle w:val="Hyperlink"/>
          </w:rPr>
          <w:t xml:space="preserve">некоммерческих помещений</w:t>
        </w:r>
      </w:hyperlink>
      <w:r>
        <w:t xml:space="preserve">. Прием заявок начался 21 октября и продлится до 20 декабря этого года. Предприниматели, которые украсят заведения, могут претендовать на грант до двух миллионов рублей. Средства направляют на компенсацию затрат на создание проекта оформления, приобретение праздничных и световых украшений, а также на работы по доставке, установке и монтажу композиции.</w:t>
      </w:r>
    </w:p>
    <w:p>
      <w:pPr>
        <w:pStyle w:val="BodyText"/>
      </w:pPr>
      <w:r>
        <w:t xml:space="preserve"> </w:t>
      </w:r>
    </w:p>
    <w:p>
      <w:pPr>
        <w:pStyle w:val="BodyText"/>
      </w:pPr>
      <w:r>
        <w:t xml:space="preserve">Для получения такой меры поддержки бизнесмены должны соответствовать ряду критериев. В частности, являться московскими налогоплательщиками, иметь право собственности или пользования объектом. А с момента регистрации юридического лица или индивидуального предпринимателя должно пройти не менее года.</w:t>
      </w:r>
    </w:p>
    <w:p>
      <w:pPr>
        <w:pStyle w:val="BodyText"/>
      </w:pPr>
      <w:r>
        <w:t xml:space="preserve"> </w:t>
      </w:r>
    </w:p>
    <w:p>
      <w:pPr>
        <w:pStyle w:val="BodyText"/>
      </w:pPr>
      <w:r>
        <w:t xml:space="preserve">Узнать более подробно о том, как подготовить документы и подать заявку, можно </w:t>
      </w:r>
      <w:hyperlink r:id="rId28">
        <w:r>
          <w:rPr>
            <w:rStyle w:val="Hyperlink"/>
          </w:rPr>
          <w:t xml:space="preserve">по ссылке</w:t>
        </w:r>
      </w:hyperlink>
      <w:r>
        <w:t xml:space="preserve">.</w:t>
      </w:r>
    </w:p>
    <w:p>
      <w:pPr>
        <w:pStyle w:val="BodyText"/>
      </w:pPr>
      <w:r>
        <w:t xml:space="preserve"> </w:t>
      </w:r>
    </w:p>
    <w:p>
      <w:pPr>
        <w:pStyle w:val="BodyText"/>
      </w:pPr>
      <w:r>
        <w:t xml:space="preserve">С июня по сентябрь предприниматели могли воспользоваться аналогичной поддержкой города для летнего украшения фасадов и витрин.</w:t>
      </w:r>
    </w:p>
    <w:p>
      <w:pPr>
        <w:pStyle w:val="BodyText"/>
      </w:pPr>
      <w:r>
        <w:t xml:space="preserve"> </w:t>
      </w:r>
    </w:p>
    <w:bookmarkEnd w:id="29"/>
    <w:bookmarkStart w:id="35" w:name="Xb8ceffb9128329b10a408cc801bbe52fdf7496d"/>
    <w:p>
      <w:pPr>
        <w:pStyle w:val="Heading2"/>
      </w:pPr>
      <w:r>
        <w:rPr>
          <w:bCs/>
          <w:b/>
        </w:rPr>
        <w:t xml:space="preserve">Помощь в поиске помещения и льготы на аренду</w:t>
      </w:r>
    </w:p>
    <w:p>
      <w:pPr>
        <w:pStyle w:val="FirstParagraph"/>
      </w:pPr>
      <w:r>
        <w:t xml:space="preserve"> </w:t>
      </w:r>
    </w:p>
    <w:p>
      <w:pPr>
        <w:pStyle w:val="BodyText"/>
      </w:pPr>
      <w:r>
        <w:t xml:space="preserve">Одна из самых затратных статей расходов столичных предпринимателей — аренда помещений. Однако можно сэкономить, воспользовавшись помощью города: арендовать помещение по льготной ставке. Для субъектов малого и среднего предпринимательства на торгах реализуются объекты недвижимости с льготной годовой арендной ставкой от шести тысяч рублей за один квадратный метр, а также со ставкой от тысячи рублей за один квадратный метр в подвальных этажах. Окончательная стоимость аренды объектов нежилого фонда устанавливается по итогам торгов.</w:t>
      </w:r>
    </w:p>
    <w:p>
      <w:pPr>
        <w:pStyle w:val="BodyText"/>
      </w:pPr>
      <w:r>
        <w:t xml:space="preserve"> </w:t>
      </w:r>
    </w:p>
    <w:p>
      <w:pPr>
        <w:pStyle w:val="BodyText"/>
      </w:pPr>
      <w:r>
        <w:t xml:space="preserve">Найти помещение для магазина, кофейни, салона красоты, образовательного центра или склада столичные бизнесмены могут с помощью онлайн-сервиса </w:t>
      </w:r>
      <w:hyperlink r:id="rId30">
        <w:r>
          <w:rPr>
            <w:rStyle w:val="Hyperlink"/>
          </w:rPr>
          <w:t xml:space="preserve">«Подбор помещений для бизнеса в Москве»</w:t>
        </w:r>
      </w:hyperlink>
      <w:r>
        <w:t xml:space="preserve"> на портале mbm.mos.ru. Эта мера поддержки рассчитана на предпринимателей, самозанятых и физических лиц, которые планируют начать свое дело в Москве, ищут помещение аренду. Для этого необходимо оставить на странице сервиса заявку. После обращения специалисты МБМ оперативно подберут лучшие варианты помещений. Они проанализируют предложения об аренде объектов недвижимости на официальных интернет-ресурсах и направят подборку оптимальных вариантов на электронную почту заявителя.</w:t>
      </w:r>
    </w:p>
    <w:p>
      <w:pPr>
        <w:pStyle w:val="BodyText"/>
      </w:pPr>
      <w:r>
        <w:t xml:space="preserve"> </w:t>
      </w:r>
    </w:p>
    <w:p>
      <w:pPr>
        <w:pStyle w:val="BodyText"/>
      </w:pPr>
      <w:r>
        <w:t xml:space="preserve">Поддержка начинающих и действующих предпринимателей осуществляется в рамках реализации национального проекта </w:t>
      </w:r>
      <w:hyperlink r:id="rId31">
        <w:r>
          <w:rPr>
            <w:rStyle w:val="Hyperlink"/>
          </w:rPr>
          <w:t xml:space="preserve">«Малое и среднее предпринимательство и поддержка индивидуальной предпринимательской инициативы»</w:t>
        </w:r>
      </w:hyperlink>
      <w:r>
        <w:t xml:space="preserve">. Подробнее об этом и других национальных проектах, реализуемых в столице, можно узнать </w:t>
      </w:r>
      <w:hyperlink r:id="rId32">
        <w:r>
          <w:rPr>
            <w:rStyle w:val="Hyperlink"/>
          </w:rPr>
          <w:t xml:space="preserve">здесь</w:t>
        </w:r>
      </w:hyperlink>
      <w:r>
        <w:t xml:space="preserve">.</w:t>
      </w:r>
    </w:p>
    <w:p>
      <w:pPr>
        <w:pStyle w:val="BodyText"/>
      </w:pPr>
      <w:r>
        <w:t xml:space="preserve"> </w:t>
      </w:r>
    </w:p>
    <w:p>
      <w:pPr>
        <w:pStyle w:val="BodyText"/>
      </w:pPr>
      <w:r>
        <w:br/>
      </w:r>
    </w:p>
    <w:p>
      <w:pPr>
        <w:pStyle w:val="BodyText"/>
      </w:pPr>
      <w:r>
        <w:t xml:space="preserve">Адрес страницы:</w:t>
      </w:r>
      <w:r>
        <w:t xml:space="preserve"> </w:t>
      </w:r>
      <w:hyperlink r:id="rId33">
        <w:r>
          <w:rPr>
            <w:rStyle w:val="Hyperlink"/>
          </w:rPr>
          <w:t xml:space="preserve">http://brateevo.mos.ru/presscenter/officially/detail/12630085.html</w:t>
        </w:r>
      </w:hyperlink>
    </w:p>
    <w:p>
      <w:pPr>
        <w:pStyle w:val="BodyText"/>
      </w:pPr>
      <w:hyperlink r:id="rId34">
        <w:r>
          <w:rPr>
            <w:rStyle w:val="Hyperlink"/>
          </w:rPr>
          <w:t xml:space="preserve">Управа района Братеево города Москвы</w:t>
        </w:r>
      </w:hyperlink>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brateevo.mos.ru" TargetMode="External" /><Relationship Type="http://schemas.openxmlformats.org/officeDocument/2006/relationships/hyperlink" Id="rId33" Target="http://brateevo.mos.ru/presscenter/officially/detail/12630085.html" TargetMode="External" /><Relationship Type="http://schemas.openxmlformats.org/officeDocument/2006/relationships/hyperlink" Id="rId28" Target="https://i.moscow/measure-supports-card/aafb9767a146476abf9864432bfe0c94" TargetMode="External" /><Relationship Type="http://schemas.openxmlformats.org/officeDocument/2006/relationships/hyperlink" Id="rId22" Target="https://mbm.mos.ru/consultation" TargetMode="External" /><Relationship Type="http://schemas.openxmlformats.org/officeDocument/2006/relationships/hyperlink" Id="rId23" Target="https://mbm.mos.ru/services" TargetMode="External" /><Relationship Type="http://schemas.openxmlformats.org/officeDocument/2006/relationships/hyperlink" Id="rId30" Target="https://mbm.mos.ru/services/podbor-gorodskih-pomeshchenij" TargetMode="External" /><Relationship Type="http://schemas.openxmlformats.org/officeDocument/2006/relationships/hyperlink" Id="rId32" Target="https://www.mos.ru/city/projects/national/" TargetMode="External" /><Relationship Type="http://schemas.openxmlformats.org/officeDocument/2006/relationships/hyperlink" Id="rId20" Target="https://www.mos.ru/karta-moskvicha-stat-partnerom/" TargetMode="External" /><Relationship Type="http://schemas.openxmlformats.org/officeDocument/2006/relationships/hyperlink" Id="rId25" Target="https://www.mos.ru/mayor/themes/11428050/" TargetMode="External" /><Relationship Type="http://schemas.openxmlformats.org/officeDocument/2006/relationships/hyperlink" Id="rId26" Target="https://www.mos.ru/mayor/themes/11906050/" TargetMode="External" /><Relationship Type="http://schemas.openxmlformats.org/officeDocument/2006/relationships/hyperlink" Id="rId27" Target="https://www.mos.ru/news/item/145600073/" TargetMode="External" /><Relationship Type="http://schemas.openxmlformats.org/officeDocument/2006/relationships/hyperlink" Id="rId31" Target="https://xn--80aapampemcchfmo7a3c9ehj.xn--p1ai/projects/msp/" TargetMode="External" /></Relationships>
</file>

<file path=word/_rels/footnotes.xml.rels><?xml version="1.0" encoding="UTF-8"?><Relationships xmlns="http://schemas.openxmlformats.org/package/2006/relationships"><Relationship Type="http://schemas.openxmlformats.org/officeDocument/2006/relationships/hyperlink" Id="rId34" Target="http://brateevo.mos.ru" TargetMode="External" /><Relationship Type="http://schemas.openxmlformats.org/officeDocument/2006/relationships/hyperlink" Id="rId33" Target="http://brateevo.mos.ru/presscenter/officially/detail/12630085.html" TargetMode="External" /><Relationship Type="http://schemas.openxmlformats.org/officeDocument/2006/relationships/hyperlink" Id="rId28" Target="https://i.moscow/measure-supports-card/aafb9767a146476abf9864432bfe0c94" TargetMode="External" /><Relationship Type="http://schemas.openxmlformats.org/officeDocument/2006/relationships/hyperlink" Id="rId22" Target="https://mbm.mos.ru/consultation" TargetMode="External" /><Relationship Type="http://schemas.openxmlformats.org/officeDocument/2006/relationships/hyperlink" Id="rId23" Target="https://mbm.mos.ru/services" TargetMode="External" /><Relationship Type="http://schemas.openxmlformats.org/officeDocument/2006/relationships/hyperlink" Id="rId30" Target="https://mbm.mos.ru/services/podbor-gorodskih-pomeshchenij" TargetMode="External" /><Relationship Type="http://schemas.openxmlformats.org/officeDocument/2006/relationships/hyperlink" Id="rId32" Target="https://www.mos.ru/city/projects/national/" TargetMode="External" /><Relationship Type="http://schemas.openxmlformats.org/officeDocument/2006/relationships/hyperlink" Id="rId20" Target="https://www.mos.ru/karta-moskvicha-stat-partnerom/" TargetMode="External" /><Relationship Type="http://schemas.openxmlformats.org/officeDocument/2006/relationships/hyperlink" Id="rId25" Target="https://www.mos.ru/mayor/themes/11428050/" TargetMode="External" /><Relationship Type="http://schemas.openxmlformats.org/officeDocument/2006/relationships/hyperlink" Id="rId26" Target="https://www.mos.ru/mayor/themes/11906050/" TargetMode="External" /><Relationship Type="http://schemas.openxmlformats.org/officeDocument/2006/relationships/hyperlink" Id="rId27" Target="https://www.mos.ru/news/item/145600073/" TargetMode="External" /><Relationship Type="http://schemas.openxmlformats.org/officeDocument/2006/relationships/hyperlink" Id="rId31" Target="https://xn--80aapampemcchfmo7a3c9ehj.xn--p1ai/projects/ms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2025-04-10T01:29:41Z</dcterms:created>
  <dcterms:modified xsi:type="dcterms:W3CDTF">2025-04-10T01:29:41Z</dcterms:modified>
</cp:coreProperties>
</file>

<file path=docProps/custom.xml><?xml version="1.0" encoding="utf-8"?>
<Properties xmlns="http://schemas.openxmlformats.org/officeDocument/2006/custom-properties" xmlns:vt="http://schemas.openxmlformats.org/officeDocument/2006/docPropsVTypes"/>
</file>