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87b135e58cecb878bfaffbbe2523c6d137c9554"/>
    <w:p>
      <w:pPr>
        <w:pStyle w:val="Heading3"/>
      </w:pPr>
      <w:r>
        <w:t xml:space="preserve">Спрос на онлайн-сервисы для ведения бизнеса вырос в 1,7 раза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 </w:t>
      </w:r>
    </w:p>
    <w:p>
      <w:pPr>
        <w:pStyle w:val="BodyText"/>
      </w:pPr>
      <w:r>
        <w:t xml:space="preserve">Самыми востребованными онлайн-сервисами МБМ стали «Законодательный бизнес-дайджест» и «Проверь законность вывески».</w:t>
      </w:r>
    </w:p>
    <w:p>
      <w:pPr>
        <w:pStyle w:val="BodyText"/>
      </w:pPr>
      <w:r>
        <w:t xml:space="preserve">С января по июнь этого года спрос на онлайн-сервисы на портале ГБУ 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 (МБМ) вырос в 1,7 раза по сравнению с аналогичным периодом 2023 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«За первое полугодие 2024 года начинающие и действующие предприниматели воспользовались онлайн-сервисами МБМ более 78 тысяч раз. Востребованность цифровых услуг связана с растущим спросом на дистанционное решение бизнес-задач, а также с увеличением количества малых и средних предприятий. Многие из них становятся пользователями сервисов на портале МБМ», — рассказала </w:t>
      </w:r>
      <w:r>
        <w:rPr>
          <w:bCs/>
          <w:b/>
        </w:rPr>
        <w:t xml:space="preserve">Кристина Кострома</w:t>
      </w:r>
      <w:r>
        <w:t xml:space="preserve">, руководитель Департамента предпринимательства и инновационного развития города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начала года более 28 тысяч пользователей портала МБМ обратились к онлайн-сервису </w:t>
      </w:r>
      <w:hyperlink r:id="rId21">
        <w:r>
          <w:rPr>
            <w:rStyle w:val="Hyperlink"/>
          </w:rPr>
          <w:t xml:space="preserve">«Законодательный бизнес-дайджест»</w:t>
        </w:r>
      </w:hyperlink>
      <w:r>
        <w:t xml:space="preserve">. Это превысило показатель за первое полугодие 2023 года в 12 раз. С помощью сервиса предприниматели узнают о важных правовых новостях, которые затрагивают деятельность бизнеса. Кроме того, в дайджесте можно узнать о принятых нормативных актах и законопроектах, а также о разъяснениях тех или иных ведомств по правовым вопросам. Для удобства пользователей в онлайн-сервисе есть возможность подписаться на еженедельные уведомления, чтобы не пропустить важные изменения в законодательстве.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Число обращений к онлайн-сервису</w:t>
      </w:r>
      <w:r>
        <w:rPr>
          <w:bCs/>
          <w:b/>
        </w:rPr>
        <w:t xml:space="preserve"> </w:t>
      </w:r>
      <w:hyperlink r:id="rId22">
        <w:r>
          <w:rPr>
            <w:rStyle w:val="Hyperlink"/>
          </w:rPr>
          <w:t xml:space="preserve">«Проверь законность вывески»</w:t>
        </w:r>
      </w:hyperlink>
      <w:r>
        <w:t xml:space="preserve"> в первом полугодии 2024 года выросло в два раза по сравнению с аналогичным периодом прошлого года. С начала года с помощью сервиса предприниматели проверили адреса размещения вывесок более 18 тысяч раз. Кроме того, в нем можно подписаться на уведомления о нарушении. Если его выявят по адресу размещения информационной конструкции, сообщение об этом поступит на электронную почту.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пятерку востребованных онлайн-сервисов МБМ также входят </w:t>
      </w:r>
      <w:hyperlink r:id="rId23">
        <w:r>
          <w:rPr>
            <w:rStyle w:val="Hyperlink"/>
          </w:rPr>
          <w:t xml:space="preserve">«Проверка контрагентов»</w:t>
        </w:r>
      </w:hyperlink>
      <w:r>
        <w:t xml:space="preserve">, </w:t>
      </w:r>
      <w:hyperlink r:id="rId24">
        <w:r>
          <w:rPr>
            <w:rStyle w:val="Hyperlink"/>
          </w:rPr>
          <w:t xml:space="preserve">«Подготовка налоговой декларации по УСН»</w:t>
        </w:r>
      </w:hyperlink>
      <w:r>
        <w:t xml:space="preserve">, </w:t>
      </w:r>
      <w:hyperlink r:id="rId25">
        <w:r>
          <w:rPr>
            <w:rStyle w:val="Hyperlink"/>
          </w:rPr>
          <w:t xml:space="preserve">«Бизнес-боксы»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Всего на портале работает более 35 бесплатных онлайн-сервисов. Они позволяют начинающим и действующим предпринимателям решать различные задачи — от поиска идеи для своего дела до его расширения. Так, с помощью сервисов бизнесмены могут перейти на патентную систему налогообложения, записаться в бесплатный коворкинг, подготовить финансовую модель или оценить потенциал площадки.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этого, предпринимателям предоставляются бесплатные консультации по вопросам ведения бизнеса в Москве, а также индивидуальные рекомендации по развитию социальных сетей, настройке рекламных кампаний, составлению коммерческих предложений и многое другое.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 рамках национального проекта «Малое и среднее предпринимательство и поддержка индивидуальной предпринимательской инициативы». Подробнее о национальных проектах, реализуемых в городе, можно узнать </w:t>
      </w:r>
      <w:hyperlink r:id="rId26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 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 помогает открывать и развивать свое дело в столице. В центрах услуг для бизнеса каждый желающий может узнать о финансовых и нефинансовых мерах государственной поддержки. Для предпринимателей проводят бесплатные образовательные и деловые мероприятия — форумы, семинары, тренинги и конференции, — которые помогают 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 вопросам открытия и ведения бизнеса в Москве и более подробно узнать об актуальных мерах поддержки предпринимателей в столице можно на портале 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 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http://brateevo.mos.ru/presscenter/officially/detail/12486700.html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brateevo.mos.ru" TargetMode="External" /><Relationship Type="http://schemas.openxmlformats.org/officeDocument/2006/relationships/hyperlink" Id="rId27" Target="http://brateevo.mos.ru/presscenter/officially/detail/12486700.html" TargetMode="External" /><Relationship Type="http://schemas.openxmlformats.org/officeDocument/2006/relationships/hyperlink" Id="rId23" Target="https://check.mbm.mos.ru/login?prev=%2Fcounterparty-check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5" Target="https://mbm.mos.ru/services/business-boxes" TargetMode="External" /><Relationship Type="http://schemas.openxmlformats.org/officeDocument/2006/relationships/hyperlink" Id="rId22" Target="https://mbm.mos.ru/services/check-outdoor-sign" TargetMode="External" /><Relationship Type="http://schemas.openxmlformats.org/officeDocument/2006/relationships/hyperlink" Id="rId24" Target="https://mbm.mos.ru/services/podgotovka-nalogovoj-deklaracii-po-usn" TargetMode="External" /><Relationship Type="http://schemas.openxmlformats.org/officeDocument/2006/relationships/hyperlink" Id="rId21" Target="https://mbm.mos.ru/zkbd?page=1" TargetMode="External" /><Relationship Type="http://schemas.openxmlformats.org/officeDocument/2006/relationships/hyperlink" Id="rId26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brateevo.mos.ru" TargetMode="External" /><Relationship Type="http://schemas.openxmlformats.org/officeDocument/2006/relationships/hyperlink" Id="rId27" Target="http://brateevo.mos.ru/presscenter/officially/detail/12486700.html" TargetMode="External" /><Relationship Type="http://schemas.openxmlformats.org/officeDocument/2006/relationships/hyperlink" Id="rId23" Target="https://check.mbm.mos.ru/login?prev=%2Fcounterparty-check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5" Target="https://mbm.mos.ru/services/business-boxes" TargetMode="External" /><Relationship Type="http://schemas.openxmlformats.org/officeDocument/2006/relationships/hyperlink" Id="rId22" Target="https://mbm.mos.ru/services/check-outdoor-sign" TargetMode="External" /><Relationship Type="http://schemas.openxmlformats.org/officeDocument/2006/relationships/hyperlink" Id="rId24" Target="https://mbm.mos.ru/services/podgotovka-nalogovoj-deklaracii-po-usn" TargetMode="External" /><Relationship Type="http://schemas.openxmlformats.org/officeDocument/2006/relationships/hyperlink" Id="rId21" Target="https://mbm.mos.ru/zkbd?page=1" TargetMode="External" /><Relationship Type="http://schemas.openxmlformats.org/officeDocument/2006/relationships/hyperlink" Id="rId26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2025-04-10T01:29:28Z</dcterms:created>
  <dcterms:modified xsi:type="dcterms:W3CDTF">2025-04-10T01:29:28Z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