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a74bf095390a67f3a81d5f6ba8c99c26b3f1a"/>
    <w:p>
      <w:pPr>
        <w:pStyle w:val="Heading3"/>
      </w:pPr>
      <w:r>
        <w:t xml:space="preserve">Аренду помещений в сервисе «Вместе с культурой» на mos.ru теперь можно оплатить через СБП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СБП позволяет производить платежи без комиссии, а также получать кешбэк в размере одного процента от внесенной суммы.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Пользователи сервиса </w:t>
      </w:r>
      <w:hyperlink r:id="rId20">
        <w:r>
          <w:rPr>
            <w:rStyle w:val="Hyperlink"/>
          </w:rPr>
          <w:t xml:space="preserve">«Вместе с культурой»</w:t>
        </w:r>
      </w:hyperlink>
      <w:r>
        <w:t xml:space="preserve"> теперь могут оплатить аренду городских пространств с помощью системы быстрых платежей (СБП). Такая возможность доступна в сервисе «Мои платежи» на портале mos.ru и в приложении «Госуслуги Москвы». Об этом сообщили в столичном Департаменте информационных технологий.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 каталоге сервиса представлено более 1,5 тысячи площадок в культурных учреждениях столицы. Среди них — кабинеты для занятий, конференций и деловых встреч, коворкинги, залы для выставок, танцев и спортивных соревнований, фотостудии, кинозалы и многое другое. Москвичам достаточно с помощью фильтров указать необходимые параметры, и система за несколько секунд подберет подходящие варианты городских пространств для мероприятия. Подача заявки на бронирование занимает не более двух-трех минут. Для удобства пользователей мы добавили в перечень инструментов оплаты популярный сервис СБП, который позволяет провести платеж быстро и без ввода данных карты», — рассказал заместитель руководителя Департамента информационных технологий города Москвы Борис Фролов.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странице каждой площадки указаны свободные для бронирования даты, точная стоимость аренды, а также размещена информация о техническом оснащении, доступности помещения для людей с ограниченными возможностями здоровья, наличии парковки и другие сведения.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Чтобы воспользоваться сервисом, необходимо иметь </w:t>
      </w:r>
      <w:hyperlink r:id="rId21">
        <w:r>
          <w:rPr>
            <w:rStyle w:val="Hyperlink"/>
          </w:rPr>
          <w:t xml:space="preserve">учетную запись на 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электронной заявке потребуется выбрать тип мероприятия. Кроме того, в заказе можно указать и необходимое дополнительное оборудование. Сведения о заявителе добавляются автоматически из личного кабинета на mos.ru, что ускоряет заполнение формы. При необходимости там же можно скорректировать данные.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Договор аренды поступит в личный кабинет на mos.ru. Ознакомившись с ним, пользователь может перейти  к оплате бронирования. Сделать это можно с помощью банковской карты, баланса телефона или СБП. При выборе последнего способа на экране отобразится QR-код. После успешного проведения платежа в мобильном приложении банка пользователя автоматически перенаправят на страницу результатов оплаты, где появится квитанция. СБП позволяет проводить платежи без комиссии, а также получать кешбэк в размере одного процента от внесенной суммы.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Сервис </w:t>
      </w:r>
      <w:hyperlink r:id="rId20">
        <w:r>
          <w:rPr>
            <w:rStyle w:val="Hyperlink"/>
          </w:rPr>
          <w:t xml:space="preserve">«Вместе с культурой»</w:t>
        </w:r>
      </w:hyperlink>
      <w:r>
        <w:t xml:space="preserve"> начал работу на портале mos.ru в 2021 году. Это совместный проект столичных департаментов информационных технологий и культуры. На его площадках прошло свыше 30 тысяч мероприятий, из них более восьми тысяч — с начала 2024-го, больше чем за весь первый год его работы. Среди пользователей — преподаватели, репетиторы, артисты, психологи. Они проводят мастер-классы, тренинги, занятия с детьми, репетиции и концерты. Почти половина арендаторов бронируют площадки неоднократно.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Внедрение цифровых решений в сфере культуры соответствует задачам национального проекта «Культура» и регионального проекта Москвы «Цифровая культура». Подробнее о национальных проектах, реализуемых в столице, можно узнать 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http://brateevo.mos.ru/presscenter/officially/detail/12442712.html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442712.html" TargetMode="External" /><Relationship Type="http://schemas.openxmlformats.org/officeDocument/2006/relationships/hyperlink" Id="rId20" Target="https://www.mos.ru/arenda/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1" Target="https://www.mos.ru/otvet-tehnologii/kak-povysit-status-uchetnoy-zapisi-na-mos-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442712.html" TargetMode="External" /><Relationship Type="http://schemas.openxmlformats.org/officeDocument/2006/relationships/hyperlink" Id="rId20" Target="https://www.mos.ru/arenda/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1" Target="https://www.mos.ru/otvet-tehnologii/kak-povysit-status-uchetnoy-zapisi-na-mos-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2025-07-04T15:26:42Z</dcterms:created>
  <dcterms:modified xsi:type="dcterms:W3CDTF">2025-07-04T15:26:42Z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