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6f953ce77c36893e94cd5403de44dafab7471"/>
    <w:p>
      <w:pPr>
        <w:pStyle w:val="Heading3"/>
      </w:pPr>
      <w:r>
        <w:t xml:space="preserve">Активные граждане выбрали, как обустроить московские дворы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t xml:space="preserve">Активные граждане высказались по вопросу обустройства дворов в следующем году. В голосовании принял участие 211 741 человек.</w:t>
      </w:r>
    </w:p>
    <w:p>
      <w:pPr>
        <w:pStyle w:val="BodyText"/>
      </w:pPr>
      <w:r>
        <w:t xml:space="preserve">Благоустройство дворов давно стало правилом в Москве. Их приводят в порядок в соответствии с новым стандартом комфорта. Во многих дворах появились детские и спортивные площадки, новые деревья и кустарники, созданы парковочные зоны, оборудованы или отремонтированы системы освещения.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http://brateevo.mos.ru/presscenter/active-citizen/detail/8668351.html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active-citizen/detail/8668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active-citizen/detail/8668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2025-06-11T15:35:59Z</dcterms:created>
  <dcterms:modified xsi:type="dcterms:W3CDTF">2025-06-11T15:35:59Z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