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bbbf8fd1999e50a7071a07caac88b2d897620f"/>
    <w:p>
      <w:pPr>
        <w:pStyle w:val="Heading3"/>
      </w:pPr>
      <w:r>
        <w:t xml:space="preserve">Узнайте как установить шлагбаум за "5 шагов"</w:t>
      </w:r>
    </w:p>
    <w:p>
      <w:pPr>
        <w:pStyle w:val="FirstParagraph"/>
      </w:pPr>
      <w:r>
        <w:t xml:space="preserve">16.03.2021</w:t>
      </w:r>
    </w:p>
    <w:p>
      <w:pPr>
        <w:pStyle w:val="BodyText"/>
      </w:pPr>
      <w:r>
        <w:drawing>
          <wp:inline>
            <wp:extent cx="5334000" cy="755465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6a6/ustanovka-shlagbaum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546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http://brateevo.mos.ru/housing-and-communal-services/detail/9787251.html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housing-and-communal-services/detail/97872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housing-and-communal-services/detail/97872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2023-07-19T05:50:51Z</dcterms:created>
  <dcterms:modified xsi:type="dcterms:W3CDTF">2023-07-19T05:50:51Z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