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не-затягивай-с-оплатой-жку"/>
    <w:p>
      <w:pPr>
        <w:pStyle w:val="Heading3"/>
      </w:pPr>
      <w:r>
        <w:t xml:space="preserve">"Не затягивай с оплатой ЖКУ!"</w:t>
      </w:r>
    </w:p>
    <w:p>
      <w:pPr>
        <w:pStyle w:val="FirstParagraph"/>
      </w:pPr>
      <w:r>
        <w:t xml:space="preserve">10.11.2020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1e4/uslugi-zhkkh-mozhno-oplatit-avansom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a03/chem-grozit-neoplata-zhkkh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36277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b03/zhkkh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62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http://brateevo.mos.ru/housing-and-communal-services/detail/9409528.html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Братеево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0" Target="http://brateevo.mos.ru" TargetMode="External" /><Relationship Type="http://schemas.openxmlformats.org/officeDocument/2006/relationships/hyperlink" Id="rId29" Target="http://brateevo.mos.ru/housing-and-communal-services/detail/94095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brateevo.mos.ru" TargetMode="External" /><Relationship Type="http://schemas.openxmlformats.org/officeDocument/2006/relationships/hyperlink" Id="rId29" Target="http://brateevo.mos.ru/housing-and-communal-services/detail/94095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2025-04-10T01:33:57Z</dcterms:created>
  <dcterms:modified xsi:type="dcterms:W3CDTF">2025-04-10T01:33:57Z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