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968c8813fccde14c849ad16e6ab21591886a"/>
    <w:p>
      <w:pPr>
        <w:pStyle w:val="Heading3"/>
      </w:pPr>
      <w:r>
        <w:t xml:space="preserve">Создание системы беспроводного сбора данных с индивидуальных приборов учёта электрической энергии МКД.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Доводим до Вашего сведения, что АО «Мосэнергосбыт» проводит работы по созданию системы сбора данных с приборов учёта электроэнергии потребителей коммунальной услуги в многоквартирных домах в городе Москве.</w:t>
      </w:r>
    </w:p>
    <w:p>
      <w:pPr>
        <w:pStyle w:val="BodyText"/>
      </w:pPr>
      <w:r>
        <w:t xml:space="preserve">В рамках выполнения работ в приборы учета электроэнергии Меркурий 200.02 устанавливаются радиомодули. Неисправные приборы учета электроэнергии Меркурий 200.02, а также приборы учета электроэнергии других производителей меняются на новые приборы учета электроэнергии с встроенными радиомодулями.</w:t>
      </w:r>
    </w:p>
    <w:p>
      <w:pPr>
        <w:pStyle w:val="BodyText"/>
      </w:pPr>
      <w:r>
        <w:t xml:space="preserve">После проведения работ приборы учета электроэнергии опломбировываются одноразовыми номерными пломбами с логотипом АО «Мосэнергосбыт».</w:t>
      </w:r>
    </w:p>
    <w:p>
      <w:pPr>
        <w:pStyle w:val="BodyText"/>
      </w:pPr>
      <w:r>
        <w:t xml:space="preserve">Все работы для жильцов домов производятся</w:t>
      </w:r>
      <w:r>
        <w:t xml:space="preserve"> </w:t>
      </w:r>
      <w:r>
        <w:rPr>
          <w:bCs/>
          <w:b/>
        </w:rPr>
        <w:t xml:space="preserve">бесплатно, за счет средств АО «Мосэнергосбыт».</w:t>
      </w:r>
    </w:p>
    <w:p>
      <w:pPr>
        <w:pStyle w:val="BodyText"/>
      </w:pPr>
      <w:r>
        <w:t xml:space="preserve">В дальнейшем техническое обслуживание созданной системы (в том числе замена вышедшего из строя оборудования, входящего в её состав) будет осуществляться силами и за счёт АО «Мосэнергосбыт».</w:t>
      </w:r>
    </w:p>
    <w:p>
      <w:pPr>
        <w:pStyle w:val="BodyText"/>
      </w:pPr>
      <w:r>
        <w:t xml:space="preserve">Работы проводятся силами аккредитованной специализированной подрядной организацией ООО «СтройЭнергоКом».</w:t>
      </w:r>
    </w:p>
    <w:p>
      <w:pPr>
        <w:pStyle w:val="BodyText"/>
      </w:pPr>
      <w:r>
        <w:t xml:space="preserve">Дополнительно сообщаем:</w:t>
      </w:r>
    </w:p>
    <w:p>
      <w:pPr>
        <w:pStyle w:val="BodyText"/>
      </w:pPr>
      <w:r>
        <w:t xml:space="preserve">- подрядная организация информирует жителей домов о предстоящих работах путем расклейки объявлений в подъездах и на информационных стендах за 1-2 дня до начала работ;</w:t>
      </w:r>
    </w:p>
    <w:p>
      <w:pPr>
        <w:pStyle w:val="BodyText"/>
      </w:pPr>
      <w:r>
        <w:t xml:space="preserve">- сотрудники подрядной организации имеют при себе фирменное удостоверение ООО «СтройЭнергоКом» и копию письма АО «Мосэнергосбыт» о проведении работ;</w:t>
      </w:r>
    </w:p>
    <w:p>
      <w:pPr>
        <w:pStyle w:val="BodyText"/>
      </w:pPr>
      <w:r>
        <w:t xml:space="preserve">- при замене прибора учета потребителю оставляется извещение о замене;</w:t>
      </w:r>
    </w:p>
    <w:p>
      <w:pPr>
        <w:pStyle w:val="BodyText"/>
      </w:pPr>
      <w:r>
        <w:t xml:space="preserve">- если снятый прибор учета был в собственности потребителя, то он возвращается потребителю. Если потребитель отсутствовал дома в момент замены прибора учета, то по данному вопросу ему необходимо обратиться по телефонам, указанным в извещении о замене, и прибор учета будет возвращен;</w:t>
      </w:r>
    </w:p>
    <w:p>
      <w:pPr>
        <w:pStyle w:val="BodyText"/>
      </w:pPr>
      <w:r>
        <w:t xml:space="preserve">- новый прибор будет вести учет потребляемой электроэнергии в соответствии с тарифным расписанием снятого прибора учета.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http://brateevo.mos.ru/housing-and-communal-services/detail/8740327.html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740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740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2024-10-13T09:40:56Z</dcterms:created>
  <dcterms:modified xsi:type="dcterms:W3CDTF">2024-10-13T09:40:56Z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