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f1412b0dc9a4b38e56942f3eb4f58dacac1829"/>
    <w:p>
      <w:pPr>
        <w:pStyle w:val="Heading3"/>
      </w:pPr>
      <w:r>
        <w:t xml:space="preserve">Постановление о реализации мероприятий по раздельному сбору мусора.</w:t>
      </w:r>
    </w:p>
    <w:p>
      <w:pPr>
        <w:pStyle w:val="FirstParagraph"/>
      </w:pPr>
      <w:r>
        <w:t xml:space="preserve">16.01.2020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a9d/postanovlenie-o-razdelnom-musore-734_pp-ot-18.06.2019-_1_-_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0276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f60/postanovlenie-o-razdelnom-musore-734_pp-ot-18.06.2019-_1_-_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027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http://brateevo.mos.ru/housing-and-communal-services/detail/8624486.html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housing-and-communal-services/detail/86244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housing-and-communal-services/detail/86244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2025-03-10T20:36:43Z</dcterms:created>
  <dcterms:modified xsi:type="dcterms:W3CDTF">2025-03-10T20:36:43Z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