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225c5292de22cccbd3c5fa5b2e9804ab1d349f"/>
    <w:p>
      <w:pPr>
        <w:pStyle w:val="Heading3"/>
      </w:pPr>
      <w:r>
        <w:t xml:space="preserve">Информируем, что 10 мая 2016 года Акционерный коммерческий банк «Банк Москвы» (ОАО) был реорганизован в форме присоединения к Банку ВТБ (ПАО).</w:t>
      </w:r>
    </w:p>
    <w:p>
      <w:pPr>
        <w:pStyle w:val="FirstParagraph"/>
      </w:pPr>
      <w:r>
        <w:t xml:space="preserve">18.05.2016</w:t>
      </w:r>
    </w:p>
    <w:p>
      <w:pPr>
        <w:pStyle w:val="BodyText"/>
      </w:pPr>
      <w:r>
        <w:drawing>
          <wp:inline>
            <wp:extent cx="3429000" cy="48508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legislation/iFA3Q4v78HS40qvex7HqFGbw7QPuwFD116f8a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8508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http://brateevo.mos.ru/housing-and-communal-services/detail/2969511.html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2969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housing-and-communal-services/detail/2969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2024-10-04T12:00:18Z</dcterms:created>
  <dcterms:modified xsi:type="dcterms:W3CDTF">2024-10-04T12:00:18Z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