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075231e6f411916ac98f14a19bbe797a1537e"/>
    <w:p>
      <w:pPr>
        <w:pStyle w:val="Heading3"/>
      </w:pPr>
      <w:r>
        <w:t xml:space="preserve">18.09.2023 в районе Братеево состоялось переселение жителя из муниципального жилого помещения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t xml:space="preserve">По информации судебного пристава-исполнителя Царицынского ОСП ГУФССП России по г. Москве 18.09.2023 в районе Братеево состоялось переселение жителя из муниципального жилого помещения площадью 52,3 кв.м. в жилое помещение меньшей площади, в связи с имеющейся задолженностью за жилищно-коммунальные услуги в размере 282 563,19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http://brateevo.mos.ru/housing-and-communal-services/detail/11839038.html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839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839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2023-09-23T08:52:11Z</dcterms:created>
  <dcterms:modified xsi:type="dcterms:W3CDTF">2023-09-23T08:52:11Z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