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эргономика-раздельный-сбор-отходов"/>
    <w:p>
      <w:pPr>
        <w:pStyle w:val="Heading3"/>
      </w:pPr>
      <w:r>
        <w:t xml:space="preserve">ЭРГОНОМИКА: РАЗДЕЛЬНЫЙ СБОР ОТХОДОВ</w:t>
      </w:r>
    </w:p>
    <w:p>
      <w:pPr>
        <w:pStyle w:val="FirstParagraph"/>
      </w:pPr>
      <w:r>
        <w:t xml:space="preserve">22.06.2021</w:t>
      </w:r>
    </w:p>
    <w:bookmarkEnd w:id="20"/>
    <w:bookmarkStart w:id="21" w:name="эргономика-раздельный-сбор-отходов-1"/>
    <w:p>
      <w:pPr>
        <w:pStyle w:val="Heading1"/>
      </w:pPr>
      <w:r>
        <w:t xml:space="preserve">ЭРГОНОМИКА: РАЗДЕЛЬНЫЙ СБОР ОТХОДОВ</w:t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rateevo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http://brateevo.mos.ru/housing-and-communal-services/detail/10048860.html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ousing-and-communal-services/detail/10048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ousing-and-communal-services/detail/10048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2024-09-02T10:52:44Z</dcterms:created>
  <dcterms:modified xsi:type="dcterms:W3CDTF">2024-09-02T10:52:44Z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