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c98f6625b30b238c198eaff19e7c0926799a3"/>
    <w:p>
      <w:pPr>
        <w:pStyle w:val="Heading3"/>
      </w:pPr>
      <w:r>
        <w:t xml:space="preserve">Почему поливы продолжаются даже в сильные ливни?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rPr>
          <w:iCs/>
          <w:i/>
        </w:rPr>
        <w:t xml:space="preserve">Полив проводится в жаркие дни для устранения образования пыления и улучшения санитарного состояния улично-дорожной сети города, а мойка производится для ликвидации грязи на проезжей части дорог. Мойка дорог во время дождя позволяет достичь более эффективного результата при удалении с проезжей части мелкодисперсных загрязнений. То есть при мытье дорог работает тот же принцип, что и, к примеру, при стирке – предварительное замачивание позволяет справляться даже с самыми сильными загрязнениями.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http://brateevo.mos.ru/helpful-information-for-residents-of-the-area/detail/12803279.html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2803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2803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2025-04-10T00:19:04Z</dcterms:created>
  <dcterms:modified xsi:type="dcterms:W3CDTF">2025-04-10T00:19:04Z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