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962ce0be06bc63dc08ca95b18d24d7d346f2e"/>
    <w:p>
      <w:pPr>
        <w:pStyle w:val="Heading3"/>
      </w:pPr>
      <w:r>
        <w:t xml:space="preserve">Приложение 2 к Распоряжению об образовании избирательных участков</w:t>
      </w:r>
    </w:p>
    <w:p>
      <w:pPr>
        <w:pStyle w:val="FirstParagraph"/>
      </w:pPr>
      <w:r>
        <w:t xml:space="preserve">09.04.2014</w:t>
      </w:r>
    </w:p>
    <w:p>
      <w:pPr>
        <w:pStyle w:val="BodyText"/>
      </w:pPr>
      <w:r>
        <w:t xml:space="preserve">Графическое изображение границ избирательных участков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http://brateevo.mos.ru/elections/detail/998262.html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lections/detail/998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lections/detail/998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2024-10-08T23:47:34Z</dcterms:created>
  <dcterms:modified xsi:type="dcterms:W3CDTF">2024-10-08T23:47:34Z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