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4c69c3922b2df4918bb7acbffb006c22d4530"/>
    <w:p>
      <w:pPr>
        <w:pStyle w:val="Heading3"/>
      </w:pPr>
      <w:r>
        <w:t xml:space="preserve">О государственном контроле (надзоре) и муниципальном контроле в Российской Федерации</w:t>
      </w:r>
    </w:p>
    <w:p>
      <w:pPr>
        <w:pStyle w:val="FirstParagraph"/>
      </w:pPr>
      <w:r>
        <w:t xml:space="preserve">13.02.2024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http://brateevo.mos.ru/economy-and-consumer-market/subektam-malogo-i-srednego-predprinimatelstva/konsultatsionnaya-podderzhka/detail/12163543.html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economy-and-consumer-market/subektam-malogo-i-srednego-predprinimatelstva/konsultatsionnaya-podderzhka/detail/121635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economy-and-consumer-market/subektam-malogo-i-srednego-predprinimatelstva/konsultatsionnaya-podderzhka/detail/121635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2025-04-10T01:31:22Z</dcterms:created>
  <dcterms:modified xsi:type="dcterms:W3CDTF">2025-04-10T01:31:22Z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