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88e40950bb0e3c7b4b527f954f2dae9124a9e"/>
    <w:p>
      <w:pPr>
        <w:pStyle w:val="Heading3"/>
      </w:pPr>
      <w:r>
        <w:t xml:space="preserve">Информация для предприятий сферы услуг общественного питания</w:t>
      </w:r>
    </w:p>
    <w:p>
      <w:pPr>
        <w:pStyle w:val="FirstParagraph"/>
      </w:pPr>
      <w:r>
        <w:t xml:space="preserve">05.04.2022</w:t>
      </w:r>
    </w:p>
    <w:p>
      <w:pPr>
        <w:pStyle w:val="BodyText"/>
      </w:pPr>
      <w:r>
        <w:t xml:space="preserve">Информация для предприятий сферы услуг общественного питания</w:t>
      </w:r>
    </w:p>
    <w:p>
      <w:pPr>
        <w:pStyle w:val="BodyText"/>
      </w:pPr>
      <w:r>
        <w:t xml:space="preserve">Правительство Москвы утвердило порядок предоставления грантов предпринимателям на создание (развитие) сетей быстрого питания в городе Москве.</w:t>
      </w:r>
    </w:p>
    <w:p>
      <w:pPr>
        <w:pStyle w:val="BodyText"/>
      </w:pPr>
      <w:r>
        <w:t xml:space="preserve">Заявки на получение гранта будут принимать с 28 марта по 30 июня 2022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http://brateevo.mos.ru/economy-and-consumer-market/subektam-malogo-i-srednego-predprinimatelstva/finansovaya-podderzhka/detail/10730925.html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subektam-malogo-i-srednego-predprinimatelstva/finansovaya-podderzhka/detail/10730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subektam-malogo-i-srednego-predprinimatelstva/finansovaya-podderzhka/detail/10730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2025-04-10T01:31:56Z</dcterms:created>
  <dcterms:modified xsi:type="dcterms:W3CDTF">2025-04-10T01:31:56Z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