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2ce44d64c1d501bf4cabd8b8f0b187f0768ef6a"/>
    <w:p>
      <w:pPr>
        <w:pStyle w:val="Heading3"/>
      </w:pPr>
      <w:r>
        <w:t xml:space="preserve">В Москве продлили программы льготного кредитования и факторинга для бизнеса на 2025 год</w:t>
      </w:r>
    </w:p>
    <w:p>
      <w:pPr>
        <w:pStyle w:val="FirstParagraph"/>
      </w:pPr>
      <w:r>
        <w:t xml:space="preserve">29.04.2025</w:t>
      </w:r>
    </w:p>
    <w:p>
      <w:pPr>
        <w:pStyle w:val="BodyText"/>
      </w:pPr>
      <w:r>
        <w:t xml:space="preserve">Продолжение реализации программ льготного кредитования позволит придать дополнительный импульс развитию малого и среднего бизнеса.</w:t>
      </w:r>
    </w:p>
    <w:p>
      <w:pPr>
        <w:pStyle w:val="BodyText"/>
      </w:pPr>
      <w:r>
        <w:t xml:space="preserve"> </w:t>
      </w:r>
    </w:p>
    <w:p>
      <w:pPr>
        <w:pStyle w:val="BodyText"/>
      </w:pPr>
      <w:r>
        <w:t xml:space="preserve">В Москве продлили на 2025 год действие четырех программ льготного кредитования и программы факторинга для столичных предпринимателей.</w:t>
      </w:r>
    </w:p>
    <w:p>
      <w:pPr>
        <w:pStyle w:val="BodyText"/>
      </w:pPr>
      <w:r>
        <w:t xml:space="preserve"> </w:t>
      </w:r>
    </w:p>
    <w:p>
      <w:pPr>
        <w:pStyle w:val="BodyText"/>
      </w:pPr>
      <w:r>
        <w:t xml:space="preserve">«За пять лет работы программ столичные бизнесмены привлекли 382 миллиарда рублей и в среднем увеличили выручку на 15 процентов — это значит, что мера действительно работает. Мы видим конкретные результаты и понимаем, что у бизнеса должен быть стабильный доступ к таким ресурсам», — отметила Кристина Кострома, руководитель Департамента предпринимательства и инновационного развития города Москвы.</w:t>
      </w:r>
    </w:p>
    <w:p>
      <w:pPr>
        <w:pStyle w:val="BodyText"/>
      </w:pPr>
      <w:r>
        <w:t xml:space="preserve"> </w:t>
      </w:r>
    </w:p>
    <w:p>
      <w:pPr>
        <w:pStyle w:val="BodyText"/>
      </w:pPr>
      <w:r>
        <w:t xml:space="preserve">За финансовой поддержкой могут обратиться предприниматели, работающие в одной из приоритетных отраслей экономики, в их числе — производство, ИТ, высокие технологии, инновации, экспорт, креативные индустрии, туризм и социальное предпринимательство.</w:t>
      </w:r>
    </w:p>
    <w:p>
      <w:pPr>
        <w:pStyle w:val="BodyText"/>
      </w:pPr>
      <w:r>
        <w:t xml:space="preserve"> </w:t>
      </w:r>
    </w:p>
    <w:p>
      <w:pPr>
        <w:pStyle w:val="BodyText"/>
      </w:pPr>
      <w:r>
        <w:rPr>
          <w:bCs/>
          <w:b/>
        </w:rPr>
        <w:t xml:space="preserve">Льготное кредитование приоритетных отраслей</w:t>
      </w:r>
    </w:p>
    <w:p>
      <w:pPr>
        <w:pStyle w:val="BodyText"/>
      </w:pPr>
      <w:r>
        <w:t xml:space="preserve">Максимальный размер кредита составляет 30 миллионов рублей по льготной ставке 15,5 процента годовых (одна вторая ключевой ставки Банка России, увеличенная на пять процентных пунктов). Срок субсидирования процентной ставки — до 12 месяцев.</w:t>
      </w:r>
    </w:p>
    <w:p>
      <w:pPr>
        <w:pStyle w:val="BodyText"/>
      </w:pPr>
      <w:r>
        <w:t xml:space="preserve"> </w:t>
      </w:r>
    </w:p>
    <w:p>
      <w:pPr>
        <w:pStyle w:val="BodyText"/>
      </w:pPr>
      <w:r>
        <w:t xml:space="preserve">Для подачи заявки на льготный кредит необходимо обратиться в один из банков — партнеров программы: ПАО «Сбербанк России», ПАО «Совкомбанк», ПАО «Банк ВТБ», ПАО «Банк ПСБ», АО «МСП Банк», АО «Банк Дом.рф», АО «Альфа-Банк», АО «Т-Банк» и АО «Газпромбанк». К программе в ближайшее время присоединится и ПАО «Московский кредитный банк».</w:t>
      </w:r>
    </w:p>
    <w:p>
      <w:pPr>
        <w:pStyle w:val="BodyText"/>
      </w:pPr>
      <w:r>
        <w:br/>
      </w:r>
    </w:p>
    <w:bookmarkEnd w:id="20"/>
    <w:bookmarkStart w:id="26" w:name="Xc9ec667975b0f3bb3c7cdfafa7886944ea36c30"/>
    <w:p>
      <w:pPr>
        <w:pStyle w:val="Heading2"/>
      </w:pPr>
      <w:r>
        <w:rPr>
          <w:bCs/>
          <w:b/>
        </w:rPr>
        <w:t xml:space="preserve">Онлайн-кредитование приоритетных отраслей без имущественного залога</w:t>
      </w:r>
      <w:r>
        <w:t xml:space="preserve"> </w:t>
      </w:r>
    </w:p>
    <w:p>
      <w:pPr>
        <w:pStyle w:val="FirstParagraph"/>
      </w:pPr>
      <w:r>
        <w:t xml:space="preserve">Онлайн-кредиты по льготной ставке 15,5 процента (одна вторая ключевой ставки Банка России, увеличенная на пять процентных пунктов) на любые цели могут получить субъекты малого и среднего бизнеса, осуществляющие деятельность в приоритетных отраслях.</w:t>
      </w:r>
    </w:p>
    <w:p>
      <w:pPr>
        <w:pStyle w:val="BodyText"/>
      </w:pPr>
      <w:r>
        <w:t xml:space="preserve"> </w:t>
      </w:r>
    </w:p>
    <w:p>
      <w:pPr>
        <w:pStyle w:val="BodyText"/>
      </w:pPr>
      <w:r>
        <w:t xml:space="preserve">Максимальный размер кредита — пять миллионов рублей. Срок субсидирования процентной ставки — до 12 месяцев.</w:t>
      </w:r>
    </w:p>
    <w:p>
      <w:pPr>
        <w:pStyle w:val="BodyText"/>
      </w:pPr>
      <w:r>
        <w:t xml:space="preserve"> </w:t>
      </w:r>
    </w:p>
    <w:p>
      <w:pPr>
        <w:pStyle w:val="BodyText"/>
      </w:pPr>
      <w:r>
        <w:t xml:space="preserve">Для получения онлайн-кредита не требуется предоставления залога. Как правило, все необходимое уже есть у банка, в котором открыт расчетный счет. Оформить льготный кредит можно через интернет-банк в течение одного — трех дней. Проверка данных заемщика и принятие решения происходят автоматически.</w:t>
      </w:r>
    </w:p>
    <w:p>
      <w:pPr>
        <w:pStyle w:val="BodyText"/>
      </w:pPr>
      <w:r>
        <w:t xml:space="preserve"> </w:t>
      </w:r>
    </w:p>
    <w:p>
      <w:pPr>
        <w:pStyle w:val="BodyText"/>
      </w:pPr>
      <w:r>
        <w:t xml:space="preserve">Банками — партнерами этой программы выступают ПАО «Сбербанк России», ПАО «Совкомбанк», ПАО «Банк ПСБ», а также АО «МСП Банк».</w:t>
      </w:r>
    </w:p>
    <w:p>
      <w:pPr>
        <w:pStyle w:val="BodyText"/>
      </w:pPr>
      <w:r>
        <w:br/>
      </w:r>
    </w:p>
    <w:p>
      <w:pPr>
        <w:pStyle w:val="BodyText"/>
      </w:pPr>
      <w:r>
        <w:rPr>
          <w:bCs/>
          <w:b/>
        </w:rPr>
        <w:t xml:space="preserve">Льготное кредитование под залог прав на интеллектуальную собственность </w:t>
      </w:r>
    </w:p>
    <w:p>
      <w:pPr>
        <w:pStyle w:val="BodyText"/>
      </w:pPr>
      <w:r>
        <w:t xml:space="preserve">Получить льготные кредиты могут субъекты малого и среднего предпринимательства (МСП), использующие в качестве обеспечения по кредиту права на интеллектуальную собственность. Льготная процентная ставка для заемщиков составит пять процентов при передаче под залог прав на патенты, базы данных или программы для электронных вычислительных машин и 8,5 процентов, если под залог передаются права на иные результаты интеллектуальной деятельности.</w:t>
      </w:r>
    </w:p>
    <w:p>
      <w:pPr>
        <w:pStyle w:val="BodyText"/>
      </w:pPr>
      <w:r>
        <w:t xml:space="preserve"> </w:t>
      </w:r>
    </w:p>
    <w:p>
      <w:pPr>
        <w:pStyle w:val="BodyText"/>
      </w:pPr>
      <w:r>
        <w:t xml:space="preserve">Максимальный размер кредита — 50 миллионов рублей. Максимальный размер покрытия поручительством составляет 95 процентов. Срок субсидирования процентной ставки — до 24 месяцев.</w:t>
      </w:r>
    </w:p>
    <w:p>
      <w:pPr>
        <w:pStyle w:val="BodyText"/>
      </w:pPr>
      <w:r>
        <w:t xml:space="preserve"> </w:t>
      </w:r>
    </w:p>
    <w:p>
      <w:pPr>
        <w:pStyle w:val="BodyText"/>
      </w:pPr>
      <w:r>
        <w:t xml:space="preserve">Подать заявку на получение льготного кредита можно в таких банках, как ПАО «Сбербанк России», ПАО «Банк ВТБ» и ПАО «Совкомбанк».</w:t>
      </w:r>
    </w:p>
    <w:p>
      <w:pPr>
        <w:pStyle w:val="BodyText"/>
      </w:pPr>
      <w:r>
        <w:br/>
      </w:r>
    </w:p>
    <w:p>
      <w:pPr>
        <w:pStyle w:val="BodyText"/>
      </w:pPr>
      <w:r>
        <w:rPr>
          <w:bCs/>
          <w:b/>
        </w:rPr>
        <w:t xml:space="preserve">Льготная поддержка экспортеров </w:t>
      </w:r>
    </w:p>
    <w:p>
      <w:pPr>
        <w:pStyle w:val="BodyText"/>
      </w:pPr>
      <w:r>
        <w:t xml:space="preserve">Предприниматели, осуществляющие экспортную деятельность, смогут получить кредиты по льготной ставке 12,5 процента годовых (одна вторая ключевой ставки Банка России, увеличенная на два процентных пункта) на пополнение оборотных средств, связанных с производством и поставкой продукции в рамках экспортного контракта.</w:t>
      </w:r>
    </w:p>
    <w:p>
      <w:pPr>
        <w:pStyle w:val="BodyText"/>
      </w:pPr>
      <w:r>
        <w:t xml:space="preserve"> </w:t>
      </w:r>
    </w:p>
    <w:p>
      <w:pPr>
        <w:pStyle w:val="BodyText"/>
      </w:pPr>
      <w:r>
        <w:t xml:space="preserve">Максимальный размер кредита — 100 миллионов рублей. Срок субсидирования процентной ставки — до 24 месяцев.</w:t>
      </w:r>
    </w:p>
    <w:p>
      <w:pPr>
        <w:pStyle w:val="BodyText"/>
      </w:pPr>
      <w:r>
        <w:t xml:space="preserve"> </w:t>
      </w:r>
    </w:p>
    <w:p>
      <w:pPr>
        <w:pStyle w:val="BodyText"/>
      </w:pPr>
      <w:r>
        <w:t xml:space="preserve">Для подачи заявки на льготный кредит необходимо обратиться в один из банков — партнеров программы: ПАО «Сбербанк России», ПАО «Совкомбанк», ПАО «Банк ВТБ», а также ПАО «Московский кредитный банк».</w:t>
      </w:r>
    </w:p>
    <w:p>
      <w:pPr>
        <w:pStyle w:val="BodyText"/>
      </w:pPr>
      <w:r>
        <w:br/>
      </w:r>
    </w:p>
    <w:p>
      <w:pPr>
        <w:pStyle w:val="BodyText"/>
      </w:pPr>
      <w:r>
        <w:rPr>
          <w:bCs/>
          <w:b/>
        </w:rPr>
        <w:t xml:space="preserve">Льготный факторинг </w:t>
      </w:r>
    </w:p>
    <w:p>
      <w:pPr>
        <w:pStyle w:val="BodyText"/>
      </w:pPr>
      <w:r>
        <w:t xml:space="preserve">Финансовую поддержку от города могут получить субъекты малого и среднего бизнеса, реализующие продукцию на условиях отсрочки платежа. Факторинговые компании предоставляют финансирование по факту отгрузки товара и берут на себя осуществление расчетов с покупателями.</w:t>
      </w:r>
    </w:p>
    <w:p>
      <w:pPr>
        <w:pStyle w:val="BodyText"/>
      </w:pPr>
      <w:r>
        <w:t xml:space="preserve"> </w:t>
      </w:r>
    </w:p>
    <w:p>
      <w:pPr>
        <w:pStyle w:val="BodyText"/>
      </w:pPr>
      <w:r>
        <w:t xml:space="preserve">Предприниматели, осуществляющие деятельность в приоритетных отраслях, могут заключить договоры льготного факторинга на сумму до 100 миллионов рублей по ставке 16,5 процента годовых (одна вторая ключевой ставки Банка России, увеличенная на шесть процентных пунктов). Срок субсидирования — до 12 месяцев.</w:t>
      </w:r>
    </w:p>
    <w:p>
      <w:pPr>
        <w:pStyle w:val="BodyText"/>
      </w:pPr>
      <w:r>
        <w:t xml:space="preserve"> </w:t>
      </w:r>
    </w:p>
    <w:p>
      <w:pPr>
        <w:pStyle w:val="BodyText"/>
      </w:pPr>
      <w:r>
        <w:t xml:space="preserve">В программе участвуют ведущие факторинговые организации, среди которых ООО «Сбербанк факторинг», ООО «Совкомбанк факторинг», ООО «ВТБ факторинг», ООО «МСП факторинг» (группа «ПСБ»), ООО «РСХБ факторинг», АО «Альфа-Банк». К программе в ближайшее время присоединятся АО «Росагролизинг» и ООО «Рови факторинг плюс».</w:t>
      </w:r>
    </w:p>
    <w:p>
      <w:pPr>
        <w:pStyle w:val="BodyText"/>
      </w:pPr>
      <w:r>
        <w:t xml:space="preserve"> </w:t>
      </w:r>
    </w:p>
    <w:p>
      <w:pPr>
        <w:pStyle w:val="BodyText"/>
      </w:pPr>
      <w:r>
        <w:t xml:space="preserve">При отсутствии собственного залогового обеспечения предприниматели могут обратиться в </w:t>
      </w:r>
      <w:hyperlink r:id="rId21">
        <w:r>
          <w:rPr>
            <w:rStyle w:val="Hyperlink"/>
          </w:rPr>
          <w:t xml:space="preserve">Московский гарантийный фонд</w:t>
        </w:r>
      </w:hyperlink>
      <w:r>
        <w:t xml:space="preserve">, который, выступая поручителем, помогает решить проблему нехватки собственного обеспечения для получения кредита. Кроме того, консультанты фонда помогают заявителям с подготовкой документов, необходимых для получения льготного кредита.</w:t>
      </w:r>
    </w:p>
    <w:p>
      <w:pPr>
        <w:pStyle w:val="BodyText"/>
      </w:pPr>
      <w:r>
        <w:t xml:space="preserve"> </w:t>
      </w:r>
    </w:p>
    <w:p>
      <w:pPr>
        <w:pStyle w:val="BodyText"/>
      </w:pPr>
      <w:r>
        <w:t xml:space="preserve">Продолжение реализации программ льготного кредитования позволит придать дополнительный импульс развитию малого и среднего бизнеса, а также будет способствовать стабилизации цен для конечных потребителей.</w:t>
      </w:r>
    </w:p>
    <w:p>
      <w:pPr>
        <w:pStyle w:val="BodyText"/>
      </w:pPr>
      <w:r>
        <w:t xml:space="preserve"> </w:t>
      </w:r>
    </w:p>
    <w:p>
      <w:pPr>
        <w:pStyle w:val="BodyText"/>
      </w:pPr>
      <w:r>
        <w:t xml:space="preserve">Поддержка предпринимателей осуществляется в рамках реализации федерального проекта «Малое и среднее предпринимательство и поддержка индивидуальной предпринимательской инициативы», входящего в состав нацпроекта </w:t>
      </w:r>
      <w:hyperlink r:id="rId22">
        <w:r>
          <w:rPr>
            <w:rStyle w:val="Hyperlink"/>
          </w:rPr>
          <w:t xml:space="preserve">«Эффективная и конкурентная экономика»</w:t>
        </w:r>
      </w:hyperlink>
      <w:r>
        <w:t xml:space="preserve">.</w:t>
      </w:r>
    </w:p>
    <w:p>
      <w:pPr>
        <w:pStyle w:val="BodyText"/>
      </w:pPr>
      <w:r>
        <w:t xml:space="preserve"> </w:t>
      </w:r>
    </w:p>
    <w:p>
      <w:pPr>
        <w:pStyle w:val="BodyText"/>
      </w:pPr>
      <w:r>
        <w:rPr>
          <w:bCs/>
          <w:b/>
        </w:rPr>
        <w:t xml:space="preserve">Оперативно узнавайте главные новости в </w:t>
      </w:r>
      <w:hyperlink r:id="rId23">
        <w:r>
          <w:rPr>
            <w:rStyle w:val="Hyperlink"/>
            <w:bCs/>
            <w:b/>
          </w:rPr>
          <w:t xml:space="preserve">официальном телеграм-канале</w:t>
        </w:r>
      </w:hyperlink>
      <w:r>
        <w:rPr>
          <w:bCs/>
          <w:b/>
        </w:rPr>
        <w:t xml:space="preserve"> города Москвы.</w:t>
      </w:r>
    </w:p>
    <w:p>
      <w:pPr>
        <w:pStyle w:val="BodyText"/>
      </w:pPr>
      <w:r>
        <w:br/>
      </w:r>
    </w:p>
    <w:p>
      <w:pPr>
        <w:pStyle w:val="BodyText"/>
      </w:pPr>
      <w:r>
        <w:t xml:space="preserve">Адрес страницы:</w:t>
      </w:r>
      <w:r>
        <w:t xml:space="preserve"> </w:t>
      </w:r>
      <w:hyperlink r:id="rId24">
        <w:r>
          <w:rPr>
            <w:rStyle w:val="Hyperlink"/>
          </w:rPr>
          <w:t xml:space="preserve">http://brateevo.mos.ru/economy-and-consumer-market/detail/12942297.html</w:t>
        </w:r>
      </w:hyperlink>
    </w:p>
    <w:p>
      <w:pPr>
        <w:pStyle w:val="BodyText"/>
      </w:pPr>
      <w:hyperlink r:id="rId25">
        <w:r>
          <w:rPr>
            <w:rStyle w:val="Hyperlink"/>
          </w:rPr>
          <w:t xml:space="preserve">Управа района Братеево города Москвы</w:t>
        </w:r>
      </w:hyperlink>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5" Target="http://brateevo.mos.ru" TargetMode="External" /><Relationship Type="http://schemas.openxmlformats.org/officeDocument/2006/relationships/hyperlink" Id="rId24" Target="http://brateevo.mos.ru/economy-and-consumer-market/detail/12942297.html" TargetMode="External" /><Relationship Type="http://schemas.openxmlformats.org/officeDocument/2006/relationships/hyperlink" Id="rId23" Target="https://t.me/mosrutop" TargetMode="External" /><Relationship Type="http://schemas.openxmlformats.org/officeDocument/2006/relationships/hyperlink" Id="rId21" Target="https://www.fskmb.ru/" TargetMode="External" /><Relationship Type="http://schemas.openxmlformats.org/officeDocument/2006/relationships/hyperlink" Id="rId22" Target="https://xn--80aapampemcchfmo7a3c9ehj.xn--p1ai/new-projects/effektivnaya-i-konkurentnaya-ekonomika/" TargetMode="External" /></Relationships>
</file>

<file path=word/_rels/footnotes.xml.rels><?xml version="1.0" encoding="UTF-8"?><Relationships xmlns="http://schemas.openxmlformats.org/package/2006/relationships"><Relationship Type="http://schemas.openxmlformats.org/officeDocument/2006/relationships/hyperlink" Id="rId25" Target="http://brateevo.mos.ru" TargetMode="External" /><Relationship Type="http://schemas.openxmlformats.org/officeDocument/2006/relationships/hyperlink" Id="rId24" Target="http://brateevo.mos.ru/economy-and-consumer-market/detail/12942297.html" TargetMode="External" /><Relationship Type="http://schemas.openxmlformats.org/officeDocument/2006/relationships/hyperlink" Id="rId23" Target="https://t.me/mosrutop" TargetMode="External" /><Relationship Type="http://schemas.openxmlformats.org/officeDocument/2006/relationships/hyperlink" Id="rId21" Target="https://www.fskmb.ru/" TargetMode="External" /><Relationship Type="http://schemas.openxmlformats.org/officeDocument/2006/relationships/hyperlink" Id="rId22" Target="https://xn--80aapampemcchfmo7a3c9ehj.xn--p1ai/new-projects/effektivnaya-i-konkurentnaya-ekonomik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2025-04-29T10:57:49Z</dcterms:created>
  <dcterms:modified xsi:type="dcterms:W3CDTF">2025-04-29T10:57:49Z</dcterms:modified>
</cp:coreProperties>
</file>

<file path=docProps/custom.xml><?xml version="1.0" encoding="utf-8"?>
<Properties xmlns="http://schemas.openxmlformats.org/officeDocument/2006/custom-properties" xmlns:vt="http://schemas.openxmlformats.org/officeDocument/2006/docPropsVTypes"/>
</file>