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a5f158ae1082da996897c2b46b1330c6fedb1dc"/>
    <w:p>
      <w:pPr>
        <w:pStyle w:val="Heading3"/>
      </w:pPr>
      <w:r>
        <w:t xml:space="preserve">Москва занимает лидирующую позицию среди регионов по объему гарантийной поддержки МСП</w:t>
      </w:r>
    </w:p>
    <w:p>
      <w:pPr>
        <w:pStyle w:val="FirstParagraph"/>
      </w:pPr>
      <w:r>
        <w:t xml:space="preserve">21.03.2025</w:t>
      </w:r>
    </w:p>
    <w:p>
      <w:pPr>
        <w:pStyle w:val="BodyText"/>
      </w:pPr>
      <w:r>
        <w:t xml:space="preserve">Программу гарантийной поддержки реализует Московский гарантийный фонд подведомственный Департаменту предпринимательства и инновационного развития города Москвы. На Москву приходится 15% от всего портфеля гарантийной поддержки региональных гарантийных организаций страны (РГО).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Московский гарантийный фонд обеспечивает доступность финансирования для малого и среднего бизнеса в Москве, выступая поручителем, помогает предпринимателям решить проблему нехватки собственного залога для получения кредита. Если у предпринимателя не хватает залога при обращении за кредитом, то Фонд может выступить поручителем, закрыв основные риски перед банком. Поручительства Московского фонда содействия кредитованию покрывают до 70% от суммы кредита, в общем объеме до 100 млн рублей.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За все время работы Фонда предоставлено более 20 тысяч поручительств на сумму 185 млрд рублей, что помогло привлечь малому и среднему</w:t>
      </w:r>
      <w:r>
        <w:t xml:space="preserve"> </w:t>
      </w:r>
      <w:bookmarkStart w:id="20" w:name="X1207a264b4c9f4df21fde20366a046b31aef217"/>
      <w:bookmarkEnd w:id="20"/>
      <w:r>
        <w:t xml:space="preserve">бизнесу финансирование в размере более 381 млрд рублей. Из них в 2024 году заключено 1939 договоров на 20 млрд рублей, объем привлеченного субъектами МСП финансирования составил 45,9 млрд рублей.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Гарантийный механизм позволяет использовать бюджетные средства как эффективный рычаг для привлечения финансирования в бизнес. Сегодня портфель поручительств в 3,9 раз превышает гарантийный капитал Фонда, обеспечивая мультипликативный эффект.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Особое внимание уделяется поддержке приоритетным отраслям – для них действуют льготные условия предоставления поручительств. Ставка вознаграждения за предоставление поручительства для приоритетных отраслей составляет 0,75% годовых от суммы поручительства, для иных отраслей – 1% годовых.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За все время работы Фонда такие компании привлекли более 99 млрд рублей. Доля финансирования высокотехнологичных предприятий в портфеле фонда составляет 28%.</w:t>
      </w:r>
    </w:p>
    <w:p>
      <w:pPr>
        <w:pStyle w:val="BodyText"/>
      </w:pPr>
      <w:r>
        <w:t xml:space="preserve">Фонд работает в партнерстве с </w:t>
      </w:r>
      <w:hyperlink r:id="rId21">
        <w:r>
          <w:rPr>
            <w:rStyle w:val="Hyperlink"/>
          </w:rPr>
          <w:t xml:space="preserve">70-ю финансовыми</w:t>
        </w:r>
      </w:hyperlink>
      <w:r>
        <w:t xml:space="preserve"> институтами, среди них государственные и коммерческие банки, финансовые структуры. За время работы с поддержкой Фонда столичные предприниматели привлекли свыше 383 миллиардов рублей заемного финансирования.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Информацию о действующих программах льготного финансирования, лимитах этих программ в банках и продуктах фонда можно получить у специалистов </w:t>
      </w:r>
      <w:hyperlink r:id="rId22">
        <w:r>
          <w:rPr>
            <w:rStyle w:val="Hyperlink"/>
          </w:rPr>
          <w:t xml:space="preserve">Центра содействия финансированию</w:t>
        </w:r>
      </w:hyperlink>
      <w:r>
        <w:t xml:space="preserve">. Предпринимателям расскажут об условиях и особенностях программ, порекомендуют банки с учетом специфики проектов. Консультации проводят в будние дни с 09:00 до 18:00 по телефону: +7 495 926-26-95, электронной почте </w:t>
      </w:r>
      <w:hyperlink r:id="rId23">
        <w:r>
          <w:rPr>
            <w:rStyle w:val="Hyperlink"/>
          </w:rPr>
          <w:t xml:space="preserve">info@fskmb.ru</w:t>
        </w:r>
      </w:hyperlink>
      <w:r>
        <w:t xml:space="preserve"> и </w:t>
      </w:r>
      <w:hyperlink r:id="rId24">
        <w:r>
          <w:rPr>
            <w:rStyle w:val="Hyperlink"/>
          </w:rPr>
          <w:t xml:space="preserve">на сайте</w:t>
        </w:r>
      </w:hyperlink>
      <w:r>
        <w:t xml:space="preserve"> фонда.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Гарантийная поддержка предпринимателей осуществляется в рамках реализации федерального проекта «Малое и среднее предпринимательство и поддержка индивидуальной предпринимательской инициативы», входящего в состав нацпроекта </w:t>
      </w:r>
      <w:hyperlink r:id="rId25">
        <w:r>
          <w:rPr>
            <w:rStyle w:val="Hyperlink"/>
          </w:rPr>
          <w:t xml:space="preserve">«Эффективная и конкурентная экономика».</w:t>
        </w:r>
      </w:hyperlink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http://brateevo.mos.ru/economy-and-consumer-market/detail/12869454.html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7" Target="http://brateevo.mos.ru" TargetMode="External" /><Relationship Type="http://schemas.openxmlformats.org/officeDocument/2006/relationships/hyperlink" Id="rId26" Target="http://brateevo.mos.ru/economy-and-consumer-market/detail/12869454.html" TargetMode="External" /><Relationship Type="http://schemas.openxmlformats.org/officeDocument/2006/relationships/hyperlink" Id="rId24" Target="https://www.fskmb.ru/" TargetMode="External" /><Relationship Type="http://schemas.openxmlformats.org/officeDocument/2006/relationships/hyperlink" Id="rId21" Target="https://www.fskmb.ru/about/#partners" TargetMode="External" /><Relationship Type="http://schemas.openxmlformats.org/officeDocument/2006/relationships/hyperlink" Id="rId22" Target="https://www.fskmb.ru/funding/promotion_center/" TargetMode="External" /><Relationship Type="http://schemas.openxmlformats.org/officeDocument/2006/relationships/hyperlink" Id="rId25" Target="https://xn--80aapampemcchfmo7a3c9ehj.xn--p1ai/new-projects/effektivnaya-i-konkurentnaya-ekonomika/" TargetMode="External" /><Relationship Type="http://schemas.openxmlformats.org/officeDocument/2006/relationships/hyperlink" Id="rId23" Target="mailto:info@fskmb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brateevo.mos.ru" TargetMode="External" /><Relationship Type="http://schemas.openxmlformats.org/officeDocument/2006/relationships/hyperlink" Id="rId26" Target="http://brateevo.mos.ru/economy-and-consumer-market/detail/12869454.html" TargetMode="External" /><Relationship Type="http://schemas.openxmlformats.org/officeDocument/2006/relationships/hyperlink" Id="rId24" Target="https://www.fskmb.ru/" TargetMode="External" /><Relationship Type="http://schemas.openxmlformats.org/officeDocument/2006/relationships/hyperlink" Id="rId21" Target="https://www.fskmb.ru/about/#partners" TargetMode="External" /><Relationship Type="http://schemas.openxmlformats.org/officeDocument/2006/relationships/hyperlink" Id="rId22" Target="https://www.fskmb.ru/funding/promotion_center/" TargetMode="External" /><Relationship Type="http://schemas.openxmlformats.org/officeDocument/2006/relationships/hyperlink" Id="rId25" Target="https://xn--80aapampemcchfmo7a3c9ehj.xn--p1ai/new-projects/effektivnaya-i-konkurentnaya-ekonomika/" TargetMode="External" /><Relationship Type="http://schemas.openxmlformats.org/officeDocument/2006/relationships/hyperlink" Id="rId23" Target="mailto:info@fskmb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2025-05-16T10:25:14Z</dcterms:created>
  <dcterms:modified xsi:type="dcterms:W3CDTF">2025-05-16T10:25:14Z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