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a2819b8f05364bc36065d347978c50496af92d"/>
    <w:p>
      <w:pPr>
        <w:pStyle w:val="Heading3"/>
      </w:pPr>
      <w:r>
        <w:t xml:space="preserve">Департаментом предпринимательства и инновационного развития города Москвы продлен прием заявок на предоставление грантов</w:t>
      </w:r>
    </w:p>
    <w:p>
      <w:pPr>
        <w:pStyle w:val="FirstParagraph"/>
      </w:pPr>
      <w:r>
        <w:t xml:space="preserve">06.08.2024</w:t>
      </w:r>
    </w:p>
    <w:p>
      <w:pPr>
        <w:pStyle w:val="BodyText"/>
      </w:pPr>
      <w:r>
        <w:t xml:space="preserve">Департаментом предпринимательства и инновационного развития города Москвы (далее – Департамент) в рамках реализации постановления Правительства Москвы 16.05.2024 № 1014-ПП «О поощрении юридических лиц и индивидуальных предпринимателей, осуществивших оформление нежилых объектов в городе Москве» продлен прием заявок на предоставление грантов индивидуальным предпринимателям и юридическим лицам, осуществившим оформление нежилых объектов в городе Москве, до 1 сентября 2024 г.</w:t>
      </w:r>
    </w:p>
    <w:p>
      <w:pPr>
        <w:pStyle w:val="BodyText"/>
      </w:pPr>
      <w:r>
        <w:t xml:space="preserve"> Претендовать на получение гранта могут предприятия торговли, общественного питания, бытовых услуг и гостиниц, расположенные на первых этажах зданий и непосредственно выходящие фасадом/витриной/входной группой минимум на один из элементов улично-дорожной сети (улица, проспект, переулок, проезд, площадь, бульвар, тупик, съезд, шоссе, аллея).</w:t>
      </w:r>
    </w:p>
    <w:p>
      <w:pPr>
        <w:pStyle w:val="BodyText"/>
      </w:pPr>
      <w:r>
        <w:t xml:space="preserve">В рамках грантовой поддержки компенсируются услуги по разработке проекта оформления объекта, работы по доставке, установке и его монтажу, а также приобретение прав на использование программного обеспечения, оборудования и материалов, использованных при оформлении. Максимальный размер гранта составляет 2 млн рублей.</w:t>
      </w:r>
    </w:p>
    <w:p>
      <w:pPr>
        <w:pStyle w:val="BodyText"/>
      </w:pPr>
      <w:r>
        <w:t xml:space="preserve">Так, например, претендовать на получение гранта могут предприятия, оформившие фасады, витрины, входные группы или летние веранды с использованием цветочных композиций, зеленых насаждений или любых украшений с применением цветов, растений или кустарников.</w:t>
      </w:r>
    </w:p>
    <w:p>
      <w:pPr>
        <w:pStyle w:val="BodyText"/>
      </w:pPr>
      <w:r>
        <w:br/>
      </w:r>
    </w:p>
    <w:p>
      <w:pPr>
        <w:pStyle w:val="BodyText"/>
      </w:pPr>
      <w:hyperlink r:id="rId20">
        <w:r>
          <w:rPr>
            <w:rStyle w:val="Hyperlink"/>
          </w:rPr>
          <w:t xml:space="preserve">ГРАНТЫ 100 ПЕРВЫМ</w:t>
        </w:r>
      </w:hyperlink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hyperlink r:id="rId21">
        <w:r>
          <w:rPr>
            <w:rStyle w:val="Hyperlink"/>
          </w:rPr>
          <w:t xml:space="preserve">ИНСТРУКЦИЯ ПО ОФОРМЛЕНИЮ ДОКУМЕНТОВ И ПОДАЧЕ ЗАЯВКИ НА ГРАНТ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http://brateevo.mos.ru/economy-and-consumer-market/detail/12507411.html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/Instruktsiya_po_dokumentam_Grant_100_Pervym_30_07_2024.pdf" TargetMode="External" /><Relationship Type="http://schemas.openxmlformats.org/officeDocument/2006/relationships/hyperlink" Id="rId20" Target="/Prezentatsiya_Granty_100_Pervym_30.07.2024-_1_.pdf" TargetMode="Externa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5074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/Instruktsiya_po_dokumentam_Grant_100_Pervym_30_07_2024.pdf" TargetMode="External" /><Relationship Type="http://schemas.openxmlformats.org/officeDocument/2006/relationships/hyperlink" Id="rId20" Target="/Prezentatsiya_Granty_100_Pervym_30.07.2024-_1_.pdf" TargetMode="Externa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5074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2024-08-10T01:40:09Z</dcterms:created>
  <dcterms:modified xsi:type="dcterms:W3CDTF">2024-08-10T01:40:09Z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