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26d1160fbb62a0ea3b756db5069bfb2a2096f4"/>
    <w:p>
      <w:pPr>
        <w:pStyle w:val="Heading3"/>
      </w:pPr>
      <w:r>
        <w:t xml:space="preserve">С 1 по 22 апреля 2024 года проводится декларационная кампания за 1 квартал 2024 года</w:t>
      </w:r>
    </w:p>
    <w:p>
      <w:pPr>
        <w:pStyle w:val="FirstParagraph"/>
      </w:pPr>
      <w:r>
        <w:t xml:space="preserve">09.04.2024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1 квартал 2024 года</w:t>
      </w:r>
      <w:r>
        <w:t xml:space="preserve"> </w:t>
      </w:r>
      <w:r>
        <w:rPr>
          <w:bCs/>
          <w:b/>
        </w:rPr>
        <w:t xml:space="preserve">необходимо подать до 22 апреля 2024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 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 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 и пива, но 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 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http://brateevo.mos.ru/economy-and-consumer-market/detail/12302357.html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economy-and-consumer-market/detail/12302357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economy-and-consumer-market/detail/12302357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2024-11-14T10:37:29Z</dcterms:created>
  <dcterms:modified xsi:type="dcterms:W3CDTF">2024-11-14T10:37:29Z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