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fbf265b6db2a53758495fadb6d74b4433511c"/>
    <w:p>
      <w:pPr>
        <w:pStyle w:val="Heading3"/>
      </w:pPr>
      <w:r>
        <w:t xml:space="preserve">Порядок предоставления грантов из бюджета города Москвы юридическим лицам и индивидуальным предпринимателям, осуществившим изменение внешнего архитектурного облика торговых центров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hyperlink r:id="rId20">
        <w:r>
          <w:rPr>
            <w:rStyle w:val="Hyperlink"/>
          </w:rPr>
          <w:t xml:space="preserve">№ 1361-ПП от 20.07.2023 «Об утверждении Порядка предоставления грантов из бюджета города Москвы юридическим лицам и индивидуальным предпринимателям, осуществившим изменение внешнего архитектурного облика торговых центров (комплексов), расположенных на территории города Москвы»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http://brateevo.mos.ru/economy-and-consumer-market/detail/12157641.html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1361-PP-po1xs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economy-and-consumer-market/detail/12157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1361-PP-po1xs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economy-and-consumer-market/detail/12157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2024-07-27T08:00:21Z</dcterms:created>
  <dcterms:modified xsi:type="dcterms:W3CDTF">2024-07-27T08:00:21Z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