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376b3247b75ce261adceaf599bcdc344b52ff"/>
    <w:p>
      <w:pPr>
        <w:pStyle w:val="Heading3"/>
      </w:pPr>
      <w:r>
        <w:t xml:space="preserve">Правила противопожарного режима на объектах защиты с массовым пребыванием людей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Во исполнении пункта 1.9.1 вопроса I Протокола заседания постоянно действующей рабочей группы Департамента торговли и услуг города Москвы по вопросам профилактики терроризма, минимизации и (или) ликвидации последствий его проявления от 06.12.2023 № 4, Правила противопожарного режима в Российской Федерации, утвержденные постановлением Правительства Российской Федерации от 16.09.2020 № 1479 «Об утверждении Правил противопожарного режима в Российской Федерации» (далее - Правила) на объектах защиты с массовым пребыванием людей запрещают:</w:t>
      </w:r>
    </w:p>
    <w:p>
      <w:pPr>
        <w:pStyle w:val="BodyText"/>
      </w:pPr>
      <w:r>
        <w:t xml:space="preserve">- применять дуговые прожекторы со степенью защиты менее IP54 и свечи (кроме культовых сооружений);</w:t>
      </w:r>
    </w:p>
    <w:p>
      <w:pPr>
        <w:pStyle w:val="BodyText"/>
      </w:pPr>
      <w:r>
        <w:t xml:space="preserve">- проводить перед началом или во время представления огневые, покрасочные и другие пожароопасные и пожаровзрывоопасные работы;</w:t>
      </w:r>
    </w:p>
    <w:p>
      <w:pPr>
        <w:pStyle w:val="BodyText"/>
      </w:pPr>
      <w:r>
        <w:t xml:space="preserve">- уменьшать ширину проходов между рядами и устанавливать в проходах дополнительные кресла, стулья и др.;</w:t>
      </w:r>
    </w:p>
    <w:p>
      <w:pPr>
        <w:pStyle w:val="BodyText"/>
      </w:pPr>
      <w:r>
        <w:t xml:space="preserve">- превышать нормативное количество одновременно находящихся людей в залах (помещениях) и (или) количество, определенное расчетом, исходя из условий обеспечения безопасной эвакуации людей при пожаре. При отсутствии нормативных требований о максимальном допустимом количестве людей в помещении следует исходить из расчета не менее 1 кв. метра на одного человека;</w:t>
      </w:r>
    </w:p>
    <w:p>
      <w:pPr>
        <w:pStyle w:val="BodyText"/>
      </w:pPr>
      <w:r>
        <w:t xml:space="preserve">- применять только электрические гирлянды и иллюминация, имеющие соответствующие сертификаты соответствия.</w:t>
      </w:r>
    </w:p>
    <w:p>
      <w:pPr>
        <w:pStyle w:val="BodyText"/>
      </w:pPr>
      <w:r>
        <w:t xml:space="preserve">Требования пожарной безопасности при применении и реализации пиротехнических изделий бытового назначения содержатся в разделе XXIII Правил.</w:t>
      </w:r>
    </w:p>
    <w:p>
      <w:pPr>
        <w:pStyle w:val="BodyText"/>
      </w:pPr>
      <w:r>
        <w:t xml:space="preserve">За нарушение требований пожарной безопасности предусмотрена административная ответственность в виде административного штрафа для должностных лиц - от двадцати тысяч до тридцати тысяч рублей, для юридических лиц - от трехсот тысяч до четырехсот тысяч рублей, а в случае повторного нарушения требований пожарной безопасности судом может быть назначено административное наказание в виде административного приостановления деятельности объекта. За нарушения требований пожарной безопасности, повлекших возникновение пожара с гибелью людей либо причинением тяжкого вреда здоровью человека предусмотрена уголовная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http://brateevo.mos.ru/economy-and-consumer-market/detail/12055814.html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55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55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2024-09-28T07:17:06Z</dcterms:created>
  <dcterms:modified xsi:type="dcterms:W3CDTF">2024-09-28T07:17:06Z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