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96698c267007f973303984b8a3d0e8e7759fc"/>
    <w:p>
      <w:pPr>
        <w:pStyle w:val="Heading3"/>
      </w:pPr>
      <w:r>
        <w:t xml:space="preserve">Объем гарантийной поддержки для предпринимателей вырос более чем на 56 процентов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t xml:space="preserve">Рост объема гарантийной поддержки достигнут благодаря внедрению экспресс-процедур и поточных поручительств.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 10 месяцев 2023 года столичные предприниматели заключили более 2,8 тысячи договоров-поручительств на сумму более 26 миллиардов рублей. Благодаря поручительствам было привлечено финансирование в размере более 56 миллиардов рублей, сообщила Кристина Кострома, глава Департамента предпринимательства и инновационного развития 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«С начала этого года объем помощи вырос более чем на 56 процентов по сравнению с аналогичным периодом прошлого года. При этом портфель привлеченного под поручительство города финансирования увеличился на треть и составил более 100 миллиардов рублей. Рост объема гарантийной поддержки достигнут благодаря внедрению экспресс-процедур и поточных поручительств. Это существенно сократило сроки рассмотрения заявок. Сегодня практически каждое второе поручительство выдается в ускоренном онлайн-режиме в течение одного рабочего дня», — рассказала Кристина Кострома.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Столица выступает поручителем малых и средних предприятий, что помогает им получить кредит. Ведь чаще всего именно отсутствие залога становится причиной отказа кредиторов. Гарантом сделки выступает </w:t>
      </w:r>
      <w:hyperlink r:id="rId20">
        <w:r>
          <w:rPr>
            <w:rStyle w:val="Hyperlink"/>
          </w:rPr>
          <w:t xml:space="preserve">Фонд содействия кредитованию малого бизнеса Москвы</w:t>
        </w:r>
      </w:hyperlink>
      <w:r>
        <w:t xml:space="preserve">. Он работает более чем с 70 кредиторами, среди которых крупнейшие государственные банки и коммерческие кредитные организации.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Поручительство гарантийного фонда покрывает до 70 процентов кредита, но не свыше 100 миллионов рублей по одной сделке, ставка поручительства составляет от 0,5 процента годовых.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Всего за время работы город помог предпринимателям Москвы привлечь более 320 миллиардов рублей.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«В отраслевом разрезе — более трети (36 процентов) договоров поручительства — фонд совокупно выдал приоритетным отраслям. Это производство, инновации, строительство, транспорт и другие. 84 процента кредитов предприниматели берут на пополнение оборотных средств, то есть на первоочередные задачи», — прокомментировал руководитель фонда Антон Купринов.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Информацию о действующих программах льготного финансирования, лимитах этих программ в банках можно получить у специалистов фонда в центре содействия финансированию бизнеса, где предпринимателям пояснят особенности, условия и критерии программ, порекомендуют банки с учетом специфики проектов. Проконсультироваться можно в будни с 09:00 до 18:00 по телефону: +7 495 926-26-95 или по электронной почте</w:t>
      </w:r>
      <w:r>
        <w:t xml:space="preserve"> </w:t>
      </w:r>
      <w:hyperlink r:id="rId21">
        <w:r>
          <w:rPr>
            <w:rStyle w:val="Hyperlink"/>
          </w:rPr>
          <w:t xml:space="preserve">info@fskmb.ru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продуктами фонда предприниматели могут ознакомиться </w:t>
      </w:r>
      <w:hyperlink r:id="rId20">
        <w:r>
          <w:rPr>
            <w:rStyle w:val="Hyperlink"/>
          </w:rPr>
          <w:t xml:space="preserve">на сайте</w:t>
        </w:r>
      </w:hyperlink>
      <w:r>
        <w:t xml:space="preserve">. Подать заявку на получение поручительства можно непосредственно в фонд, а также через центры услуг для бизнеса и банки-партнеры.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Вся информация по мерам поддержки собрана на сайте </w:t>
      </w:r>
      <w:hyperlink r:id="rId22">
        <w:r>
          <w:rPr>
            <w:rStyle w:val="Hyperlink"/>
          </w:rPr>
          <w:t xml:space="preserve">«Горячая линия для бизнеса»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бизнеса в столице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http://brateevo.mos.ru/economy-and-consumer-market/detail/11966538.html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economy-and-consumer-market/detail/11966538.html" TargetMode="External" /><Relationship Type="http://schemas.openxmlformats.org/officeDocument/2006/relationships/hyperlink" Id="rId22" Target="https://direct.moscow.business/" TargetMode="External" /><Relationship Type="http://schemas.openxmlformats.org/officeDocument/2006/relationships/hyperlink" Id="rId20" Target="https://www.fskmb.ru/" TargetMode="External" /><Relationship Type="http://schemas.openxmlformats.org/officeDocument/2006/relationships/hyperlink" Id="rId21" Target="mailto:info@fskmb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economy-and-consumer-market/detail/11966538.html" TargetMode="External" /><Relationship Type="http://schemas.openxmlformats.org/officeDocument/2006/relationships/hyperlink" Id="rId22" Target="https://direct.moscow.business/" TargetMode="External" /><Relationship Type="http://schemas.openxmlformats.org/officeDocument/2006/relationships/hyperlink" Id="rId20" Target="https://www.fskmb.ru/" TargetMode="External" /><Relationship Type="http://schemas.openxmlformats.org/officeDocument/2006/relationships/hyperlink" Id="rId21" Target="mailto:info@fskmb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2023-11-09T04:13:37Z</dcterms:created>
  <dcterms:modified xsi:type="dcterms:W3CDTF">2023-11-09T04:13:37Z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