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871d9b362d383bc4a6a7a15c0751ceda53f1f"/>
    <w:p>
      <w:pPr>
        <w:pStyle w:val="Heading3"/>
      </w:pPr>
      <w:r>
        <w:t xml:space="preserve">С начала IV квартала 2022 года Фонд развития территорий получил 15 участков</w:t>
      </w:r>
    </w:p>
    <w:p>
      <w:pPr>
        <w:pStyle w:val="FirstParagraph"/>
      </w:pPr>
      <w:r>
        <w:t xml:space="preserve">26.10.2022</w:t>
      </w:r>
    </w:p>
    <w:p>
      <w:pPr>
        <w:pStyle w:val="BodyText"/>
      </w:pPr>
      <w:r>
        <w:t xml:space="preserve">«Фонд получает земельные участки по определению Арбитражного суда после назначения выплат пострадавшим гражданам. С начала IV квартала зарегистрированы права Фонда еще на 15 участков. Таким образом, их у нас теперь 169», - пояснил Константин Тимофеев.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15 участков составляет 113 тыс. кв. метров. Они расположены в Московской, Челябинской, Ивановской, Томской, Новосибирской и Ярославской областях, Республике Карелия и Красноярском крае. На их территории размещены 25 объектов незавершенного строительства проектной площадью 112,5 тыс. кв.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Константин Тимофеев напомнил, что передача Фонду участков с недостроями позволяет частично компенсировать те бюджетные средства, которые идут на восстановление прав дольщиков. Ряд площадок реализуется через аукционы, другие Фонд планирует развивать собственными силами.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общего числа участков, по которым Фондом принято решение о реализации на торгах, по 12 участкам торги завершены и определены победители. По восьми участкам в Ивановской, Владимирской, Ленинградской, Свердловской областях, Алтайском крае, Ханты-Мансийском АО - Югре и Республике Башкортостан аукционы опубликованы и идет прием заявок.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площадках Фонда, по которым идут торги, доступна на сайте фонд214.рф во вкладке «Застройщикам», раздел «Проекты для соинвестирования».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http://brateevo.mos.ru/construction-property-and-land-relations-and-transport/detail/11155555.html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1155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1155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2023-08-25T10:54:38Z</dcterms:created>
  <dcterms:modified xsi:type="dcterms:W3CDTF">2023-08-25T10:54:38Z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