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4b8868117e1570f11015135913aee6c4f50b4d"/>
    <w:p>
      <w:pPr>
        <w:pStyle w:val="Heading3"/>
      </w:pPr>
      <w:r>
        <w:t xml:space="preserve">О выполнении работ по установке дорожных знаков ограничивающих остановку и стоянку транспортных средств</w:t>
      </w:r>
    </w:p>
    <w:p>
      <w:pPr>
        <w:pStyle w:val="FirstParagraph"/>
      </w:pPr>
      <w:r>
        <w:t xml:space="preserve">19.07.2022</w:t>
      </w:r>
    </w:p>
    <w:p>
      <w:pPr>
        <w:pStyle w:val="BodyText"/>
      </w:pPr>
      <w:r>
        <w:rPr>
          <w:bCs/>
          <w:b/>
        </w:rPr>
        <w:t xml:space="preserve">Уважаемые жители и автовладельцы!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соответствии со ст. 2 закона №1 43-ФЗ от 8.06.2015 и пункта 3 статьи 21 закона № 196-ФЗ от 10.12.1995 «О безопасности дорожного движения» и на основании решений Окружной комиссии по безопасности дорожного движения при префектуре Южного административного округа города Москвы информируем, что по адресам:</w:t>
      </w:r>
      <w:r>
        <w:t xml:space="preserve"> </w:t>
      </w:r>
      <w:r>
        <w:rPr>
          <w:bCs/>
          <w:b/>
        </w:rPr>
        <w:t xml:space="preserve">ул. Братеевская, д. 16, корп. 1 (проезд к ст.м. «Алма-Атинская»), ул. Братеевская, д. 21, корп. 2 (внутридворовая территория), ул. Ключевая, д. 8, корп. 3 (внутридворовая территория)</w:t>
      </w:r>
      <w:r>
        <w:t xml:space="preserve"> </w:t>
      </w:r>
      <w:r>
        <w:t xml:space="preserve">будут выполнены работы по установке дорожных знаков ограничивающих остановку и стоянку транспортных средств.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Одновременно сообщаем, что согласно постановлению Правительства Москвы от 24.02.2010 № 157-ПП «О полномочиях территориальных органов исполнительной власти города Москвы» мероприятия по изменению схемы организации дорожного движения, в том числе установка запрещающих дорожных знаков, на подведомственной территории могут быть выполнены балансодержателем указанной территории.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http://brateevo.mos.ru/construction-property-and-land-relations-and-transport/detail/10942050.html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construction-property-and-land-relations-and-transport/detail/109420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construction-property-and-land-relations-and-transport/detail/109420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2025-02-12T03:22:18Z</dcterms:created>
  <dcterms:modified xsi:type="dcterms:W3CDTF">2025-02-12T03:22:18Z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