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правила-поведения-на-водном-транспорте"/>
    <w:p>
      <w:pPr>
        <w:pStyle w:val="Heading3"/>
      </w:pPr>
      <w:r>
        <w:t xml:space="preserve">Правила поведения на водном транспорте</w:t>
      </w:r>
    </w:p>
    <w:p>
      <w:pPr>
        <w:pStyle w:val="FirstParagraph"/>
      </w:pPr>
      <w:r>
        <w:t xml:space="preserve">13.06.2019</w:t>
      </w:r>
    </w:p>
    <w:p>
      <w:pPr>
        <w:pStyle w:val="BodyText"/>
      </w:pPr>
      <w:r>
        <w:drawing>
          <wp:inline>
            <wp:extent cx="5334000" cy="758428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rateevo.mos.ru/www/upload/medialibrary/185/snimok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842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http://brateevo.mos.ru/Сommission-on-affairs-of-minors-and-protection-of-their-rights/detail/8149573.html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81495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&#1057;ommission-on-affairs-of-minors-and-protection-of-their-rights/detail/81495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2024-08-12T14:59:57Z</dcterms:created>
  <dcterms:modified xsi:type="dcterms:W3CDTF">2024-08-12T14:59:57Z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