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8d0f967dbea17680e6d8b6cfdc0b7e828336ec"/>
    <w:p>
      <w:pPr>
        <w:pStyle w:val="Heading3"/>
      </w:pPr>
      <w:r>
        <w:t xml:space="preserve">Правила поведения на воде в летний период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drawing>
          <wp:inline>
            <wp:extent cx="5334000" cy="75878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be1/snimo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78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74863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3f/snimok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748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http://brateevo.mos.ru/Сommission-on-affairs-of-minors-and-protection-of-their-rights/detail/8149527.html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81495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&#1057;ommission-on-affairs-of-minors-and-protection-of-their-rights/detail/81495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2025-04-10T03:46:07Z</dcterms:created>
  <dcterms:modified xsi:type="dcterms:W3CDTF">2025-04-10T03:46:07Z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