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c6b42c83025d3cdcb3883f7bad7c56f7e1a161"/>
    <w:p>
      <w:pPr>
        <w:pStyle w:val="Heading3"/>
      </w:pPr>
      <w:r>
        <w:t xml:space="preserve">Подведение итогов работы комиссии по делам несовершеннолетних и защите их прав района Братеево за 2014 год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drawing>
          <wp:inline>
            <wp:extent cx="5334000" cy="81018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Снипьооооапиоамок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01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9309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Сничсмисчмок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30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http://brateevo.mos.ru/Сommission-on-affairs-of-minors-and-protection-of-their-rights/detail/1586688.html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1586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1586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2024-02-28T23:52:11Z</dcterms:created>
  <dcterms:modified xsi:type="dcterms:W3CDTF">2024-02-28T23:52:11Z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