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349fc516e0f5d4521f85ef384df77ea3c961db"/>
    <w:p>
      <w:pPr>
        <w:pStyle w:val="Heading3"/>
      </w:pPr>
      <w:r>
        <w:t xml:space="preserve">28 мая приглашаем принять участие в спортивном мероприятии «Жизнь без наркотиков!»</w:t>
      </w:r>
    </w:p>
    <w:p>
      <w:pPr>
        <w:pStyle w:val="FirstParagraph"/>
      </w:pPr>
      <w:r>
        <w:t xml:space="preserve">15.05.2025</w:t>
      </w:r>
    </w:p>
    <w:p>
      <w:pPr>
        <w:pStyle w:val="BodyText"/>
      </w:pPr>
      <w:r>
        <w:drawing>
          <wp:inline>
            <wp:extent cx="5334000" cy="75482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афиша%20жизнь%20без%20наркотико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82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http://brateevo.mos.ru/commission-on-affairs-of-minors-and-protection-of-their-rights/detail/12968937.html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mmission-on-affairs-of-minors-and-protection-of-their-rights/detail/1296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commission-on-affairs-of-minors-and-protection-of-their-rights/detail/1296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2025-08-03T06:58:32Z</dcterms:created>
  <dcterms:modified xsi:type="dcterms:W3CDTF">2025-08-03T06:58:32Z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