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bf9e0839578dc87fe7ff4a76a7a975a0b268d2"/>
    <w:p>
      <w:pPr>
        <w:pStyle w:val="Heading3"/>
      </w:pPr>
      <w:r>
        <w:t xml:space="preserve">«Горячая линия» - сообщи о незаконной продаже несовершеннолетним вейпов, заправочной жидкости или сигарет.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drawing>
          <wp:inline>
            <wp:extent cx="5334000" cy="7997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37d/rwtsxsfnle44a3s0bw37yfl89ye5iq8q/PRILOZHENIE-1_Maket-plakata-v-elektronnom-vide-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997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http://brateevo.mos.ru/Сommission-on-affairs-of-minors-and-protection-of-their-rights/detail/11880615.html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11880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11880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2025-04-10T03:42:11Z</dcterms:created>
  <dcterms:modified xsi:type="dcterms:W3CDTF">2025-04-10T03:42:11Z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