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распоряжение-управы-района-братеево"/>
    <w:p>
      <w:pPr>
        <w:pStyle w:val="Heading3"/>
      </w:pPr>
      <w:r>
        <w:t xml:space="preserve">Распоряжение управы района Братеево</w:t>
      </w:r>
    </w:p>
    <w:p>
      <w:pPr>
        <w:pStyle w:val="FirstParagraph"/>
      </w:pPr>
      <w:r>
        <w:t xml:space="preserve">27.04.2015</w:t>
      </w:r>
    </w:p>
    <w:p>
      <w:pPr>
        <w:pStyle w:val="BodyText"/>
      </w:pPr>
      <w:r>
        <w:drawing>
          <wp:inline>
            <wp:extent cx="5334000" cy="800977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housing-and-communal-services/ываыф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097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http://brateevo.mos.ru/capital-repair/detail/1802058.html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18020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18020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2024-11-30T07:29:46Z</dcterms:created>
  <dcterms:modified xsi:type="dcterms:W3CDTF">2024-11-30T07:29:46Z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