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0348f04e9b5dbc6e53439f240f29bf61d84e88"/>
    <w:p>
      <w:pPr>
        <w:pStyle w:val="Heading3"/>
      </w:pPr>
      <w:r>
        <w:t xml:space="preserve">Террористические и экстремистские организации и материалы</w:t>
      </w:r>
    </w:p>
    <w:p>
      <w:pPr>
        <w:pStyle w:val="FirstParagraph"/>
      </w:pPr>
      <w:r>
        <w:t xml:space="preserve">11.04.2019</w:t>
      </w:r>
    </w:p>
    <w:bookmarkEnd w:id="20"/>
    <w:bookmarkStart w:id="24" w:name="X9166a4dbadbcf1ee6282bf6b5d2bc34a452ffa2"/>
    <w:p>
      <w:pPr>
        <w:pStyle w:val="Heading1"/>
      </w:pPr>
      <w:hyperlink r:id="rId21">
        <w:r>
          <w:rPr>
            <w:rStyle w:val="Hyperlink"/>
          </w:rPr>
          <w:t xml:space="preserve">Террористические и экстремистские организации и материалы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http://brateevo.mos.ru/anti-terrorism-security/the-national-anti-terrorist-committee-of-the-russian-federation-informs/terrorist-and-extremist-organizations/detail/8015104.html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terrorism-security/the-national-anti-terrorist-committee-of-the-russian-federation-informs/terrorist-and-extremist-organizations/detail/8015104.html" TargetMode="External" /><Relationship Type="http://schemas.openxmlformats.org/officeDocument/2006/relationships/hyperlink" Id="rId21" Target="http://nac.gov.ru/terroristicheskie-i-ekstremistskie-organizacii-i-materialy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terrorism-security/the-national-anti-terrorist-committee-of-the-russian-federation-informs/terrorist-and-extremist-organizations/detail/8015104.html" TargetMode="External" /><Relationship Type="http://schemas.openxmlformats.org/officeDocument/2006/relationships/hyperlink" Id="rId21" Target="http://nac.gov.ru/terroristicheskie-i-ekstremistskie-organizacii-i-materialy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2025-04-10T03:22:20Z</dcterms:created>
  <dcterms:modified xsi:type="dcterms:W3CDTF">2025-04-10T03:22:20Z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