
<file path=[Content_Types].xml><?xml version="1.0" encoding="utf-8"?>
<Types xmlns="http://schemas.openxmlformats.org/package/2006/content-types">
  <Default Extension="xml" ContentType="application/xml"/>
  <Default Extension="rels" ContentType="application/vnd.openxmlformats-package.relationships+xml"/>
  <Override PartName="/word/webSettings.xml" ContentType="application/vnd.openxmlformats-officedocument.wordprocessingml.webSettings+xml"/>
  <Override PartName="/word/numbering.xml" ContentType="application/vnd.openxmlformats-officedocument.wordprocessingml.numbering+xml"/>
  <Override PartName="/word/settings.xml" ContentType="application/vnd.openxmlformats-officedocument.wordprocessingml.settings+xml"/>
  <Override PartName="/word/theme/theme1.xml" ContentType="application/vnd.openxmlformats-officedocument.theme+xml"/>
  <Override PartName="/word/fontTable.xml" ContentType="application/vnd.openxmlformats-officedocument.wordprocessingml.fontTable+xml"/>
  <Override PartName="/docProps/app.xml" ContentType="application/vnd.openxmlformats-officedocument.extended-properties+xml"/>
  <Override PartName="/docProps/core.xml" ContentType="application/vnd.openxmlformats-package.core-properties+xml"/>
  <Override PartName="/docProps/custom.xml" ContentType="application/vnd.openxmlformats-officedocument.custom-properties+xml"/>
  <Override PartName="/word/styles.xml" ContentType="application/vnd.openxmlformats-officedocument.wordprocessingml.styles+xml"/>
  <Override PartName="/word/document.xml" ContentType="application/vnd.openxmlformats-officedocument.wordprocessingml.document.main+xml"/>
  <Override PartName="/word/comments.xml" ContentType="application/vnd.openxmlformats-officedocument.wordprocessingml.comments+xml"/>
  <Override PartName="/word/footnotes.xml" ContentType="application/vnd.openxmlformats-officedocument.wordprocessingml.footnotes+xml"/>
</Types>
</file>

<file path=_rels/.rels><?xml version="1.0" encoding="UTF-8"?><Relationships xmlns="http://schemas.openxmlformats.org/package/2006/relationships"><Relationship Id="rId1" Type="http://schemas.openxmlformats.org/officeDocument/2006/relationships/officeDocument" Target="word/document.xml" /><Relationship Id="rId4" Type="http://schemas.openxmlformats.org/officeDocument/2006/relationships/extended-properties" Target="docProps/app.xml" /><Relationship Id="rId3" Type="http://schemas.openxmlformats.org/package/2006/relationships/metadata/core-properties" Target="docProps/core.xml" /><Relationship Id="rId5" Type="http://schemas.openxmlformats.org/officeDocument/2006/relationships/custom-properties" Target="docProps/custom.xml" /></Relationships>
</file>

<file path=word/document.xml><?xml version="1.0" encoding="utf-8"?>
<w:document xmlns:w="http://schemas.openxmlformats.org/wordprocessingml/2006/main" xmlns:m="http://schemas.openxmlformats.org/officeDocument/2006/math" xmlns:r="http://schemas.openxmlformats.org/officeDocument/2006/relationships" xmlns:o="urn:schemas-microsoft-com:office:office" xmlns:v="urn:schemas-microsoft-com:vml" xmlns:w10="urn:schemas-microsoft-com:office:word" xmlns:a="http://schemas.openxmlformats.org/drawingml/2006/main" xmlns:pic="http://schemas.openxmlformats.org/drawingml/2006/picture" xmlns:wp="http://schemas.openxmlformats.org/drawingml/2006/wordprocessingDrawing">
  <w:body>
    <w:bookmarkStart w:id="22" w:name="X1b474836ed8c5cd87be1c157887cc62ca4ef570"/>
    <w:p>
      <w:pPr>
        <w:pStyle w:val="Heading3"/>
      </w:pPr>
      <w:r>
        <w:t xml:space="preserve">Действия при получении сообщения о заложенном взрывном устройстве</w:t>
      </w:r>
    </w:p>
    <w:p>
      <w:pPr>
        <w:pStyle w:val="FirstParagraph"/>
      </w:pPr>
      <w:r>
        <w:t xml:space="preserve">04.12.2018</w:t>
      </w:r>
    </w:p>
    <w:p>
      <w:pPr>
        <w:pStyle w:val="BodyText"/>
      </w:pPr>
      <w:r>
        <w:rPr>
          <w:bCs/>
          <w:b/>
        </w:rPr>
        <w:t xml:space="preserve">ПАМЯТКА</w:t>
      </w:r>
    </w:p>
    <w:p>
      <w:pPr>
        <w:pStyle w:val="BodyText"/>
      </w:pPr>
      <w:r>
        <w:rPr>
          <w:bCs/>
          <w:b/>
        </w:rPr>
        <w:t xml:space="preserve">по действиям должностных лиц при получении сообщения о заложенном взрывном устройстве, либо обнаружении предметов, вызывающих такое подозрение</w:t>
      </w:r>
    </w:p>
    <w:p>
      <w:pPr>
        <w:pStyle w:val="BodyText"/>
      </w:pPr>
      <w:r>
        <w:rPr>
          <w:bCs/>
          <w:b/>
        </w:rPr>
        <w:t xml:space="preserve"> </w:t>
      </w:r>
    </w:p>
    <w:p>
      <w:pPr>
        <w:pStyle w:val="BodyText"/>
      </w:pPr>
      <w:r>
        <w:t xml:space="preserve">1. При получении сообщения о заложенном взрывном устройстве, либо обнаружении предметов, вызывающих такое подозрение, немедленно поставьте в известность дежурную службу объекта (дежурную часть органов внутренних дел). Сообщите точный адрес, телефон, фамилию, имя, отчество.</w:t>
      </w:r>
    </w:p>
    <w:p>
      <w:pPr>
        <w:pStyle w:val="BodyText"/>
      </w:pPr>
      <w:r>
        <w:t xml:space="preserve">2. До прибытия сотрудников оперативно-следственных органов, МЧС, пожарных принять меры к ограждению объекта и недопущению к нему людей на расстояние, указанное в таблице.</w:t>
      </w:r>
    </w:p>
    <w:p>
      <w:pPr>
        <w:pStyle w:val="BodyText"/>
      </w:pPr>
      <w:r>
        <w:t xml:space="preserve">3. По прибытии специалистов по обнаружению взрывных устройств действовать в соответствии с их указаниями.</w:t>
      </w:r>
    </w:p>
    <w:p>
      <w:pPr>
        <w:pStyle w:val="BodyText"/>
      </w:pPr>
      <w:r>
        <w:t xml:space="preserve"> </w:t>
      </w:r>
    </w:p>
    <w:p>
      <w:pPr>
        <w:pStyle w:val="BodyText"/>
      </w:pPr>
      <w:r>
        <w:rPr>
          <w:bCs/>
          <w:b/>
        </w:rPr>
        <w:t xml:space="preserve">Правила поведения при обнаружении взрывного устройства</w:t>
      </w:r>
    </w:p>
    <w:p>
      <w:pPr>
        <w:pStyle w:val="BodyText"/>
      </w:pPr>
      <w:r>
        <w:t xml:space="preserve"> </w:t>
      </w:r>
    </w:p>
    <w:p>
      <w:pPr>
        <w:pStyle w:val="BodyText"/>
      </w:pPr>
      <w:r>
        <w:t xml:space="preserve">· Не предпринимать действий, нарушающих состояние подозрительного предмета и других предметов, находящихся с ним в контакте.</w:t>
      </w:r>
    </w:p>
    <w:p>
      <w:pPr>
        <w:pStyle w:val="BodyText"/>
      </w:pPr>
      <w:r>
        <w:t xml:space="preserve">· Не допускать заливание водой, засыпку грунтом, покрытие плотными тканями подозрительного предмета.</w:t>
      </w:r>
    </w:p>
    <w:p>
      <w:pPr>
        <w:pStyle w:val="BodyText"/>
      </w:pPr>
      <w:r>
        <w:t xml:space="preserve">· Не пользоваться электро-радиоаппаратурой, переговорными устройствами, рацией вблизи подозрительного предмета.</w:t>
      </w:r>
    </w:p>
    <w:p>
      <w:pPr>
        <w:pStyle w:val="BodyText"/>
      </w:pPr>
      <w:r>
        <w:t xml:space="preserve">· Не оказывать теплового, звукового, светового, механического воздействия на взрывоопасный предмет.</w:t>
      </w:r>
    </w:p>
    <w:p>
      <w:pPr>
        <w:pStyle w:val="BodyText"/>
      </w:pPr>
      <w:r>
        <w:t xml:space="preserve">· Не прикасаться к взрывоопасному предмету, находясь в одежде из синтетических волокон.</w:t>
      </w:r>
    </w:p>
    <w:p>
      <w:pPr>
        <w:pStyle w:val="BodyText"/>
      </w:pPr>
      <w:r>
        <w:t xml:space="preserve"> </w:t>
      </w:r>
    </w:p>
    <w:p>
      <w:pPr>
        <w:pStyle w:val="BodyText"/>
      </w:pPr>
      <w:r>
        <w:rPr>
          <w:bCs/>
          <w:b/>
        </w:rPr>
        <w:t xml:space="preserve">Рекомендуемые зоны эвакуации (и оцепления)</w:t>
      </w:r>
      <w:r>
        <w:br/>
      </w:r>
      <w:r>
        <w:rPr>
          <w:bCs/>
          <w:b/>
          <w:bCs/>
          <w:b/>
        </w:rPr>
        <w:t xml:space="preserve">при обнаружении взрывного устройства или предмета, подозрительного на взрывное устройство</w:t>
      </w:r>
    </w:p>
    <w:p>
      <w:pPr>
        <w:pStyle w:val="BodyText"/>
      </w:pPr>
      <w:r>
        <w:t xml:space="preserve"> </w:t>
      </w:r>
    </w:p>
    <w:p>
      <w:pPr>
        <w:pStyle w:val="BodyText"/>
      </w:pPr>
      <w:r>
        <w:t xml:space="preserve"> </w:t>
      </w:r>
    </w:p>
    <w:tbl>
      <w:tblPr>
        <w:tblStyle w:val="Table"/>
        <w:tblW w:type="pct" w:w="5000"/>
        <w:tblLook w:firstRow="0" w:lastRow="0" w:firstColumn="0" w:lastColumn="0" w:noHBand="0" w:noVBand="0" w:val="0000"/>
      </w:tblPr>
      <w:tblGrid>
        <w:gridCol w:w="2640"/>
        <w:gridCol w:w="2640"/>
        <w:gridCol w:w="2640"/>
      </w:tblGrid>
      <w:tr>
        <w:tc>
          <w:tcPr/>
          <w:p>
            <w:pPr>
              <w:jc w:val="left"/>
            </w:pPr>
            <w:r>
              <w:rPr>
                <w:bCs/>
                <w:b/>
              </w:rPr>
              <w:t xml:space="preserve">№ </w:t>
            </w:r>
          </w:p>
          <w:p>
            <w:pPr>
              <w:jc w:val="left"/>
            </w:pPr>
            <w:r>
              <w:rPr>
                <w:bCs/>
                <w:b/>
              </w:rPr>
              <w:t xml:space="preserve">п/п</w:t>
            </w:r>
          </w:p>
        </w:tc>
        <w:tc>
          <w:tcPr/>
          <w:p>
            <w:pPr>
              <w:jc w:val="left"/>
            </w:pPr>
            <w:r>
              <w:rPr>
                <w:bCs/>
                <w:b/>
              </w:rPr>
              <w:t xml:space="preserve">Взрывное устройство или предмет</w:t>
            </w:r>
          </w:p>
        </w:tc>
        <w:tc>
          <w:tcPr/>
          <w:p>
            <w:pPr>
              <w:jc w:val="left"/>
            </w:pPr>
            <w:r>
              <w:rPr>
                <w:bCs/>
                <w:b/>
              </w:rPr>
              <w:t xml:space="preserve">Радиус зоны оцепления</w:t>
            </w:r>
          </w:p>
        </w:tc>
      </w:tr>
      <w:tr>
        <w:tc>
          <w:tcPr/>
          <w:p>
            <w:pPr>
              <w:jc w:val="left"/>
            </w:pPr>
            <w:r>
              <w:rPr>
                <w:bCs/>
                <w:b/>
              </w:rPr>
              <w:t xml:space="preserve">1</w:t>
            </w:r>
          </w:p>
        </w:tc>
        <w:tc>
          <w:tcPr/>
          <w:p>
            <w:pPr>
              <w:jc w:val="left"/>
            </w:pPr>
            <w:r>
              <w:t xml:space="preserve">ГранатаРГД-5</w:t>
            </w:r>
          </w:p>
        </w:tc>
        <w:tc>
          <w:tcPr/>
          <w:p>
            <w:pPr>
              <w:jc w:val="left"/>
            </w:pPr>
            <w:r>
              <w:t xml:space="preserve">50 м</w:t>
            </w:r>
          </w:p>
        </w:tc>
      </w:tr>
      <w:tr>
        <w:tc>
          <w:tcPr/>
          <w:p>
            <w:pPr>
              <w:jc w:val="left"/>
            </w:pPr>
            <w:r>
              <w:rPr>
                <w:bCs/>
                <w:b/>
              </w:rPr>
              <w:t xml:space="preserve">2</w:t>
            </w:r>
          </w:p>
        </w:tc>
        <w:tc>
          <w:tcPr/>
          <w:p>
            <w:pPr>
              <w:jc w:val="left"/>
            </w:pPr>
            <w:r>
              <w:t xml:space="preserve">ГранатаФ-1</w:t>
            </w:r>
          </w:p>
        </w:tc>
        <w:tc>
          <w:tcPr/>
          <w:p>
            <w:pPr>
              <w:jc w:val="left"/>
            </w:pPr>
            <w:r>
              <w:t xml:space="preserve">200 м</w:t>
            </w:r>
          </w:p>
        </w:tc>
      </w:tr>
      <w:tr>
        <w:tc>
          <w:tcPr/>
          <w:p>
            <w:pPr>
              <w:jc w:val="left"/>
            </w:pPr>
            <w:r>
              <w:rPr>
                <w:bCs/>
                <w:b/>
              </w:rPr>
              <w:t xml:space="preserve">3</w:t>
            </w:r>
          </w:p>
        </w:tc>
        <w:tc>
          <w:tcPr/>
          <w:p>
            <w:pPr>
              <w:jc w:val="left"/>
            </w:pPr>
            <w:r>
              <w:t xml:space="preserve">Тротиловая шашка 200 г.</w:t>
            </w:r>
          </w:p>
        </w:tc>
        <w:tc>
          <w:tcPr/>
          <w:p>
            <w:pPr>
              <w:jc w:val="left"/>
            </w:pPr>
            <w:r>
              <w:t xml:space="preserve">45 м</w:t>
            </w:r>
          </w:p>
        </w:tc>
      </w:tr>
      <w:tr>
        <w:tc>
          <w:tcPr/>
          <w:p>
            <w:pPr>
              <w:jc w:val="left"/>
            </w:pPr>
            <w:r>
              <w:rPr>
                <w:bCs/>
                <w:b/>
              </w:rPr>
              <w:t xml:space="preserve">4</w:t>
            </w:r>
          </w:p>
        </w:tc>
        <w:tc>
          <w:tcPr/>
          <w:p>
            <w:pPr>
              <w:jc w:val="left"/>
            </w:pPr>
            <w:r>
              <w:t xml:space="preserve">Тротиловая шашка 400 г.</w:t>
            </w:r>
          </w:p>
        </w:tc>
        <w:tc>
          <w:tcPr/>
          <w:p>
            <w:pPr>
              <w:jc w:val="left"/>
            </w:pPr>
            <w:r>
              <w:t xml:space="preserve">55 м</w:t>
            </w:r>
          </w:p>
        </w:tc>
      </w:tr>
      <w:tr>
        <w:tc>
          <w:tcPr/>
          <w:p>
            <w:pPr>
              <w:jc w:val="left"/>
            </w:pPr>
            <w:r>
              <w:rPr>
                <w:bCs/>
                <w:b/>
              </w:rPr>
              <w:t xml:space="preserve">5</w:t>
            </w:r>
          </w:p>
        </w:tc>
        <w:tc>
          <w:tcPr/>
          <w:p>
            <w:pPr>
              <w:jc w:val="left"/>
            </w:pPr>
            <w:r>
              <w:t xml:space="preserve">Пивная банка 0,33 л</w:t>
            </w:r>
          </w:p>
        </w:tc>
        <w:tc>
          <w:tcPr/>
          <w:p>
            <w:pPr>
              <w:jc w:val="left"/>
            </w:pPr>
            <w:r>
              <w:t xml:space="preserve">60 м</w:t>
            </w:r>
          </w:p>
        </w:tc>
      </w:tr>
      <w:tr>
        <w:tc>
          <w:tcPr/>
          <w:p>
            <w:pPr>
              <w:jc w:val="left"/>
            </w:pPr>
            <w:r>
              <w:rPr>
                <w:bCs/>
                <w:b/>
              </w:rPr>
              <w:t xml:space="preserve">6</w:t>
            </w:r>
          </w:p>
        </w:tc>
        <w:tc>
          <w:tcPr/>
          <w:p>
            <w:pPr>
              <w:jc w:val="left"/>
            </w:pPr>
            <w:r>
              <w:t xml:space="preserve">Мина –  МОН-50</w:t>
            </w:r>
          </w:p>
        </w:tc>
        <w:tc>
          <w:tcPr/>
          <w:p>
            <w:pPr>
              <w:jc w:val="left"/>
            </w:pPr>
            <w:r>
              <w:t xml:space="preserve">85 м</w:t>
            </w:r>
          </w:p>
        </w:tc>
      </w:tr>
      <w:tr>
        <w:tc>
          <w:tcPr/>
          <w:p>
            <w:pPr>
              <w:jc w:val="left"/>
            </w:pPr>
            <w:r>
              <w:rPr>
                <w:bCs/>
                <w:b/>
              </w:rPr>
              <w:t xml:space="preserve">7</w:t>
            </w:r>
          </w:p>
        </w:tc>
        <w:tc>
          <w:tcPr/>
          <w:p>
            <w:pPr>
              <w:jc w:val="left"/>
            </w:pPr>
            <w:r>
              <w:t xml:space="preserve">Чемодан(кейс)</w:t>
            </w:r>
          </w:p>
        </w:tc>
        <w:tc>
          <w:tcPr/>
          <w:p>
            <w:pPr>
              <w:jc w:val="left"/>
            </w:pPr>
            <w:r>
              <w:t xml:space="preserve">230 м</w:t>
            </w:r>
          </w:p>
        </w:tc>
      </w:tr>
      <w:tr>
        <w:tc>
          <w:tcPr/>
          <w:p>
            <w:pPr>
              <w:jc w:val="left"/>
            </w:pPr>
            <w:r>
              <w:rPr>
                <w:bCs/>
                <w:b/>
              </w:rPr>
              <w:t xml:space="preserve">8</w:t>
            </w:r>
          </w:p>
        </w:tc>
        <w:tc>
          <w:tcPr/>
          <w:p>
            <w:pPr>
              <w:jc w:val="left"/>
            </w:pPr>
            <w:r>
              <w:t xml:space="preserve">Дорожный чемодан</w:t>
            </w:r>
          </w:p>
        </w:tc>
        <w:tc>
          <w:tcPr/>
          <w:p>
            <w:pPr>
              <w:jc w:val="left"/>
            </w:pPr>
            <w:r>
              <w:t xml:space="preserve">250 м</w:t>
            </w:r>
          </w:p>
        </w:tc>
      </w:tr>
      <w:tr>
        <w:tc>
          <w:tcPr/>
          <w:p>
            <w:pPr>
              <w:jc w:val="left"/>
            </w:pPr>
            <w:r>
              <w:rPr>
                <w:bCs/>
                <w:b/>
              </w:rPr>
              <w:t xml:space="preserve">9</w:t>
            </w:r>
          </w:p>
        </w:tc>
        <w:tc>
          <w:tcPr/>
          <w:p>
            <w:pPr>
              <w:jc w:val="left"/>
            </w:pPr>
            <w:r>
              <w:t xml:space="preserve">Автомобиль «Жигули»</w:t>
            </w:r>
          </w:p>
        </w:tc>
        <w:tc>
          <w:tcPr/>
          <w:p>
            <w:pPr>
              <w:jc w:val="left"/>
            </w:pPr>
            <w:r>
              <w:t xml:space="preserve">460 м</w:t>
            </w:r>
          </w:p>
        </w:tc>
      </w:tr>
      <w:tr>
        <w:tc>
          <w:tcPr/>
          <w:p>
            <w:pPr>
              <w:jc w:val="left"/>
            </w:pPr>
            <w:r>
              <w:rPr>
                <w:bCs/>
                <w:b/>
              </w:rPr>
              <w:t xml:space="preserve">10</w:t>
            </w:r>
          </w:p>
        </w:tc>
        <w:tc>
          <w:tcPr/>
          <w:p>
            <w:pPr>
              <w:jc w:val="left"/>
            </w:pPr>
            <w:r>
              <w:t xml:space="preserve">Автомобиль «Волга»</w:t>
            </w:r>
          </w:p>
        </w:tc>
        <w:tc>
          <w:tcPr/>
          <w:p>
            <w:pPr>
              <w:jc w:val="left"/>
            </w:pPr>
            <w:r>
              <w:t xml:space="preserve">580 м</w:t>
            </w:r>
          </w:p>
        </w:tc>
      </w:tr>
      <w:tr>
        <w:tc>
          <w:tcPr/>
          <w:p>
            <w:pPr>
              <w:jc w:val="left"/>
            </w:pPr>
            <w:r>
              <w:rPr>
                <w:bCs/>
                <w:b/>
              </w:rPr>
              <w:t xml:space="preserve">11</w:t>
            </w:r>
          </w:p>
        </w:tc>
        <w:tc>
          <w:tcPr/>
          <w:p>
            <w:pPr>
              <w:jc w:val="left"/>
            </w:pPr>
            <w:r>
              <w:t xml:space="preserve">Микроавтобус</w:t>
            </w:r>
          </w:p>
        </w:tc>
        <w:tc>
          <w:tcPr/>
          <w:p>
            <w:pPr>
              <w:jc w:val="left"/>
            </w:pPr>
            <w:r>
              <w:t xml:space="preserve">920 м</w:t>
            </w:r>
          </w:p>
        </w:tc>
      </w:tr>
      <w:tr>
        <w:tc>
          <w:tcPr/>
          <w:p>
            <w:pPr>
              <w:jc w:val="left"/>
            </w:pPr>
            <w:r>
              <w:rPr>
                <w:bCs/>
                <w:b/>
              </w:rPr>
              <w:t xml:space="preserve">12</w:t>
            </w:r>
          </w:p>
        </w:tc>
        <w:tc>
          <w:tcPr/>
          <w:p>
            <w:pPr>
              <w:jc w:val="left"/>
            </w:pPr>
            <w:r>
              <w:t xml:space="preserve">Грузовик-фургон</w:t>
            </w:r>
          </w:p>
        </w:tc>
        <w:tc>
          <w:tcPr/>
          <w:p>
            <w:pPr>
              <w:jc w:val="left"/>
            </w:pPr>
            <w:r>
              <w:t xml:space="preserve">1240 м</w:t>
            </w:r>
          </w:p>
        </w:tc>
      </w:tr>
    </w:tbl>
    <w:p>
      <w:pPr>
        <w:pStyle w:val="BodyText"/>
      </w:pPr>
      <w:r>
        <w:br/>
      </w:r>
    </w:p>
    <w:p>
      <w:pPr>
        <w:pStyle w:val="BodyText"/>
      </w:pPr>
      <w:r>
        <w:t xml:space="preserve">Адрес страницы:</w:t>
      </w:r>
      <w:r>
        <w:t xml:space="preserve"> </w:t>
      </w:r>
      <w:hyperlink r:id="rId20">
        <w:r>
          <w:rPr>
            <w:rStyle w:val="Hyperlink"/>
          </w:rPr>
          <w:t xml:space="preserve">http://brateevo.mos.ru/anti-terrorism-security/detail/7740993.html</w:t>
        </w:r>
      </w:hyperlink>
    </w:p>
    <w:p>
      <w:pPr>
        <w:pStyle w:val="BodyText"/>
      </w:pPr>
      <w:hyperlink r:id="rId21">
        <w:r>
          <w:rPr>
            <w:rStyle w:val="Hyperlink"/>
          </w:rPr>
          <w:t xml:space="preserve">Управа района Братеево города Москвы</w:t>
        </w:r>
      </w:hyperlink>
    </w:p>
    <w:bookmarkEnd w:id="22"/>
    <w:sectPr/>
  </w:body>
</w:document>
</file>

<file path=word/comments.xml><?xml version="1.0" encoding="utf-8"?>
<w:comments xmlns:w="http://schemas.openxmlformats.org/wordprocessingml/2006/main" xmlns:m="http://schemas.openxmlformats.org/officeDocument/2006/math" xmlns:r="http://schemas.openxmlformats.org/officeDocument/2006/relationships" xmlns:o="urn:schemas-microsoft-com:office:office" xmlns:v="urn:schemas-microsoft-com:vml" xmlns:w10="urn:schemas-microsoft-com:office:word" xmlns:a="http://schemas.openxmlformats.org/drawingml/2006/main" xmlns:pic="http://schemas.openxmlformats.org/drawingml/2006/picture" xmlns:wp="http://schemas.openxmlformats.org/drawingml/2006/wordprocessingDrawing"/>
</file>

<file path=word/fontTable.xml><?xml version="1.0" encoding="utf-8"?>
<w:fonts xmlns:r="http://schemas.openxmlformats.org/officeDocument/2006/relationships" xmlns:w="http://schemas.openxmlformats.org/wordprocessingml/2006/main">
  <w:font w:name="Symbol">
    <w:panose1 w:val="02000500000000000000"/>
    <w:charset w:val="02"/>
    <w:family w:val="auto"/>
    <w:pitch w:val="variable"/>
    <w:sig w:usb0="00000000" w:usb1="00000000" w:usb2="00010000" w:usb3="00000000" w:csb0="80000000" w:csb1="00000000"/>
  </w:font>
  <w:font w:name="Times New Roman">
    <w:panose1 w:val="02020603050405020304"/>
    <w:charset w:val="00"/>
    <w:family w:val="auto"/>
    <w:pitch w:val="variable"/>
    <w:sig w:usb0="00000003" w:usb1="00000000" w:usb2="00000000" w:usb3="00000000" w:csb0="00000001" w:csb1="00000000"/>
  </w:font>
  <w:font w:name="Courier New">
    <w:panose1 w:val="02070309020205020404"/>
    <w:charset w:val="00"/>
    <w:family w:val="auto"/>
    <w:pitch w:val="variable"/>
    <w:sig w:usb0="00000003" w:usb1="00000000" w:usb2="00000000" w:usb3="00000000" w:csb0="00000001" w:csb1="00000000"/>
  </w:font>
  <w:font w:name="Wingdings">
    <w:panose1 w:val="05020102010804080708"/>
    <w:charset w:val="02"/>
    <w:family w:val="auto"/>
    <w:pitch w:val="variable"/>
    <w:sig w:usb0="00000000" w:usb1="00000000" w:usb2="00010000" w:usb3="00000000" w:csb0="80000000" w:csb1="00000000"/>
  </w:font>
  <w:font w:name="Cambria">
    <w:panose1 w:val="02040503050406030204"/>
    <w:charset w:val="00"/>
    <w:family w:val="auto"/>
    <w:pitch w:val="variable"/>
    <w:sig w:usb0="00000003" w:usb1="00000000" w:usb2="00000000" w:usb3="00000000" w:csb0="00000001" w:csb1="00000000"/>
  </w:font>
  <w:font w:name="Calibri">
    <w:panose1 w:val="020F0502020204030204"/>
    <w:charset w:val="00"/>
    <w:family w:val="auto"/>
    <w:pitch w:val="variable"/>
    <w:sig w:usb0="00000003" w:usb1="00000000" w:usb2="00000000" w:usb3="00000000" w:csb0="00000001" w:csb1="00000000"/>
  </w:font>
  <w:font w:name="Arial">
    <w:panose1 w:val="020B0604020202020204"/>
    <w:charset w:val="00"/>
    <w:family w:val="auto"/>
    <w:pitch w:val="variable"/>
    <w:sig w:usb0="00000003" w:usb1="00000000" w:usb2="00000000" w:usb3="00000000" w:csb0="00000001" w:csb1="00000000"/>
  </w:font>
</w:fonts>
</file>

<file path=word/footnotes.xml><?xml version="1.0" encoding="utf-8"?>
<w:footnotes xmlns:w="http://schemas.openxmlformats.org/wordprocessingml/2006/main" xmlns:m="http://schemas.openxmlformats.org/officeDocument/2006/math" xmlns:r="http://schemas.openxmlformats.org/officeDocument/2006/relationships" xmlns:o="urn:schemas-microsoft-com:office:office" xmlns:v="urn:schemas-microsoft-com:vml" xmlns:w10="urn:schemas-microsoft-com:office:word" xmlns:a="http://schemas.openxmlformats.org/drawingml/2006/main" xmlns:pic="http://schemas.openxmlformats.org/drawingml/2006/picture" xmlns:wp="http://schemas.openxmlformats.org/drawingml/2006/wordprocessingDrawing">
  <w:footnote w:type="continuationSeparator" w:id="0">
    <w:p>
      <w:r>
        <w:continuationSeparator/>
      </w:r>
    </w:p>
  </w:footnote>
  <w:footnote w:type="separator" w:id="-1">
    <w:p>
      <w:r>
        <w:separator/>
      </w:r>
    </w:p>
  </w:footnote>
</w:footnotes>
</file>

<file path=word/numbering.xml><?xml version="1.0" encoding="utf-8"?>
<w:numbering xmlns:w="http://schemas.openxmlformats.org/wordprocessingml/2006/main">
  <w:abstractNum w:abstractNumId="990">
    <w:nsid w:val="A990"/>
    <w:multiLevelType w:val="multilevel"/>
    <w:lvl w:ilvl="0">
      <w:numFmt w:val="bullet"/>
      <w:lvlText w:val=" "/>
      <w:lvlJc w:val="left"/>
      <w:pPr>
        <w:ind w:left="720" w:hanging="480"/>
      </w:pPr>
    </w:lvl>
    <w:lvl w:ilvl="1">
      <w:numFmt w:val="bullet"/>
      <w:lvlText w:val=" "/>
      <w:lvlJc w:val="left"/>
      <w:pPr>
        <w:ind w:left="1440" w:hanging="480"/>
      </w:pPr>
    </w:lvl>
    <w:lvl w:ilvl="2">
      <w:numFmt w:val="bullet"/>
      <w:lvlText w:val=" "/>
      <w:lvlJc w:val="left"/>
      <w:pPr>
        <w:ind w:left="2160" w:hanging="480"/>
      </w:pPr>
    </w:lvl>
    <w:lvl w:ilvl="3">
      <w:numFmt w:val="bullet"/>
      <w:lvlText w:val=" "/>
      <w:lvlJc w:val="left"/>
      <w:pPr>
        <w:ind w:left="2880" w:hanging="480"/>
      </w:pPr>
    </w:lvl>
    <w:lvl w:ilvl="4">
      <w:numFmt w:val="bullet"/>
      <w:lvlText w:val=" "/>
      <w:lvlJc w:val="left"/>
      <w:pPr>
        <w:ind w:left="3600" w:hanging="480"/>
      </w:pPr>
    </w:lvl>
    <w:lvl w:ilvl="5">
      <w:numFmt w:val="bullet"/>
      <w:lvlText w:val=" "/>
      <w:lvlJc w:val="left"/>
      <w:pPr>
        <w:ind w:left="4320" w:hanging="480"/>
      </w:pPr>
    </w:lvl>
    <w:lvl w:ilvl="6">
      <w:numFmt w:val="bullet"/>
      <w:lvlText w:val=" "/>
      <w:lvlJc w:val="left"/>
      <w:pPr>
        <w:ind w:left="5040" w:hanging="480"/>
      </w:pPr>
    </w:lvl>
    <w:lvl w:ilvl="7">
      <w:numFmt w:val="bullet"/>
      <w:lvlText w:val=" "/>
      <w:lvlJc w:val="left"/>
      <w:pPr>
        <w:ind w:left="5760" w:hanging="480"/>
      </w:pPr>
    </w:lvl>
    <w:lvl w:ilvl="8">
      <w:numFmt w:val="bullet"/>
      <w:lvlText w:val=" "/>
      <w:lvlJc w:val="left"/>
      <w:pPr>
        <w:ind w:left="6480" w:hanging="480"/>
      </w:pPr>
    </w:lvl>
  </w:abstractNum>
  <w:num w:numId="1000">
    <w:abstractNumId w:val="990"/>
  </w:num>
</w:numbering>
</file>

<file path=word/settings.xml><?xml version="1.0" encoding="utf-8"?>
<w:settings xmlns:m="http://schemas.openxmlformats.org/officeDocument/2006/math" xmlns:o="urn:schemas-microsoft-com:office:office" xmlns:r="http://schemas.openxmlformats.org/officeDocument/2006/relationships" xmlns:sl="http://schemas.openxmlformats.org/schemaLibrary/2006/main" xmlns:v="urn:schemas-microsoft-com:vml" xmlns:w="http://schemas.openxmlformats.org/wordprocessingml/2006/main" xmlns:w10="urn:schemas-microsoft-com:office:word">
  <w:stylePaneFormatFilter w:val="0004"/>
  <w:footnotePr>
    <w:footnote w:id="-1"/>
    <w:footnote w:id="0"/>
  </w:footnotePr>
  <w:rsids>
  </w:rsids>
  <w:clrSchemeMapping w:accent1="accent1" w:accent2="accent2" w:accent3="accent3" w:accent4="accent4" w:accent5="accent5" w:accent6="accent6" w:bg1="light1" w:bg2="light2" w:followedHyperlink="followedHyperlink" w:hyperlink="hyperlink" w:t1="dark1" w:t2="dark2"/>
  <w:zoom w:percent="100"/>
  <w:embedSystemFonts/>
  <w:proofState w:grammar="clean" w:spelling="clean"/>
  <w:doNotTrackMoves/>
  <w:defaultTabStop w:val="720"/>
  <w:drawingGridHorizontalSpacing w:val="360"/>
  <w:drawingGridVerticalSpacing w:val="360"/>
  <w:displayHorizontalDrawingGridEvery w:val="0"/>
  <w:displayVerticalDrawingGridEvery w:val="0"/>
  <w:characterSpacingControl w:val="doNotCompress"/>
  <w:savePreviewPicture/>
  <m:mathPr>
    <m:mathFont m:val="Cambria Math"/>
    <m:brkBin m:val="before"/>
    <m:brkBinSub m:val="--"/>
    <m:smallFrac m:val="0"/>
    <m:dispDef/>
    <m:lMargin m:val="0"/>
    <m:rMargin m:val="0"/>
    <m:wrapRight/>
    <m:intLim m:val="subSup"/>
    <m:naryLim m:val="undOvr"/>
  </m:mathPr>
  <w:themeFontLang w:val="en-US"/>
  <w:decimalSymbol w:val="."/>
  <w:listSeparator w:val=","/>
</w:settings>
</file>

<file path=word/styles.xml><?xml version="1.0" encoding="utf-8"?>
<w:styles xmlns:r="http://schemas.openxmlformats.org/officeDocument/2006/relationships" xmlns:w="http://schemas.openxmlformats.org/wordprocessingml/2006/main">
  <w:docDefaults>
    <w:rPrDefault>
      <w:rPr>
        <w:rFonts w:asciiTheme="minorHAnsi" w:cstheme="minorBidi" w:eastAsiaTheme="minorHAnsi" w:hAnsiTheme="minorHAnsi"/>
        <w:sz w:val="24"/>
        <w:szCs w:val="24"/>
        <w:lang w:bidi="ar-SA" w:eastAsia="en-US" w:val="en-US"/>
      </w:rPr>
    </w:rPrDefault>
    <w:pPrDefault>
      <w:pPr>
        <w:spacing w:after="200"/>
      </w:pPr>
    </w:pPrDefault>
  </w:docDefaults>
  <w:latentStyles w:count="276" w:defLockedState="0" w:defQFormat="0" w:defSemiHidden="0" w:defUIPriority="0" w:defUnhideWhenUsed="0"/>
  <w:style w:default="1" w:styleId="Normal" w:type="paragraph">
    <w:name w:val="Normal"/>
    <w:qFormat/>
  </w:style>
  <w:style w:styleId="BodyText" w:type="paragraph">
    <w:name w:val="Body Text"/>
    <w:basedOn w:val="Normal"/>
    <w:link w:val="BodyTextChar"/>
    <w:pPr>
      <w:spacing w:after="180" w:before="180"/>
    </w:pPr>
    <w:qFormat/>
  </w:style>
  <w:style w:customStyle="1" w:styleId="FirstParagraph" w:type="paragraph">
    <w:name w:val="First Paragraph"/>
    <w:basedOn w:val="BodyText"/>
    <w:next w:val="BodyText"/>
    <w:qFormat/>
  </w:style>
  <w:style w:customStyle="1" w:styleId="Compact" w:type="paragraph">
    <w:name w:val="Compact"/>
    <w:basedOn w:val="BodyText"/>
    <w:qFormat/>
    <w:pPr>
      <w:spacing w:after="36" w:before="36"/>
    </w:pPr>
  </w:style>
  <w:style w:styleId="Title" w:type="paragraph">
    <w:name w:val="Title"/>
    <w:basedOn w:val="Normal"/>
    <w:next w:val="BodyText"/>
    <w:qFormat/>
    <w:pPr>
      <w:keepNext/>
      <w:keepLines/>
      <w:spacing w:after="240" w:before="480"/>
      <w:jc w:val="center"/>
    </w:pPr>
    <w:rPr>
      <w:rFonts w:asciiTheme="majorHAnsi" w:cstheme="majorBidi" w:eastAsiaTheme="majorEastAsia" w:hAnsiTheme="majorHAnsi"/>
      <w:b/>
      <w:bCs/>
      <w:color w:themeColor="accent1" w:themeShade="B5" w:val="345A8A"/>
      <w:sz w:val="36"/>
      <w:szCs w:val="36"/>
    </w:rPr>
  </w:style>
  <w:style w:styleId="Subtitle" w:type="paragraph">
    <w:name w:val="Subtitle"/>
    <w:basedOn w:val="Title"/>
    <w:next w:val="BodyText"/>
    <w:qFormat/>
    <w:pPr>
      <w:keepNext/>
      <w:keepLines/>
      <w:spacing w:after="240" w:before="240"/>
      <w:jc w:val="center"/>
    </w:pPr>
    <w:rPr>
      <w:sz w:val="30"/>
      <w:szCs w:val="30"/>
    </w:rPr>
  </w:style>
  <w:style w:customStyle="1" w:styleId="Author" w:type="paragraph">
    <w:name w:val="Author"/>
    <w:next w:val="BodyText"/>
    <w:qFormat/>
    <w:pPr>
      <w:keepNext/>
      <w:keepLines/>
      <w:jc w:val="center"/>
    </w:pPr>
  </w:style>
  <w:style w:styleId="Date" w:type="paragraph">
    <w:name w:val="Date"/>
    <w:next w:val="BodyText"/>
    <w:qFormat/>
    <w:pPr>
      <w:keepNext/>
      <w:keepLines/>
      <w:jc w:val="center"/>
    </w:pPr>
  </w:style>
  <w:style w:customStyle="1" w:styleId="Abstract" w:type="paragraph">
    <w:name w:val="Abstract"/>
    <w:basedOn w:val="Normal"/>
    <w:next w:val="BodyText"/>
    <w:qFormat/>
    <w:pPr>
      <w:keepNext/>
      <w:keepLines/>
      <w:spacing w:after="300" w:before="300"/>
    </w:pPr>
    <w:rPr>
      <w:sz w:val="20"/>
      <w:szCs w:val="20"/>
    </w:rPr>
  </w:style>
  <w:style w:styleId="Bibliography" w:type="paragraph">
    <w:name w:val="Bibliography"/>
    <w:basedOn w:val="Normal"/>
    <w:next w:val="Bibliography"/>
    <w:qFormat/>
    <w:pPr/>
    <w:rPr/>
  </w:style>
  <w:style w:styleId="Heading1" w:type="paragraph">
    <w:name w:val="Heading 1"/>
    <w:basedOn w:val="Normal"/>
    <w:next w:val="BodyText"/>
    <w:uiPriority w:val="9"/>
    <w:qFormat/>
    <w:pPr>
      <w:keepNext/>
      <w:keepLines/>
      <w:spacing w:after="0" w:before="480"/>
      <w:outlineLvl w:val="0"/>
    </w:pPr>
    <w:rPr>
      <w:rFonts w:asciiTheme="majorHAnsi" w:cstheme="majorBidi" w:eastAsiaTheme="majorEastAsia" w:hAnsiTheme="majorHAnsi"/>
      <w:b/>
      <w:bCs/>
      <w:color w:themeColor="accent1" w:val="4F81BD"/>
      <w:sz w:val="32"/>
      <w:szCs w:val="32"/>
    </w:rPr>
  </w:style>
  <w:style w:styleId="Heading2" w:type="paragraph">
    <w:name w:val="Heading 2"/>
    <w:basedOn w:val="Normal"/>
    <w:next w:val="BodyText"/>
    <w:uiPriority w:val="9"/>
    <w:unhideWhenUsed/>
    <w:qFormat/>
    <w:pPr>
      <w:keepNext/>
      <w:keepLines/>
      <w:spacing w:after="0" w:before="200"/>
      <w:outlineLvl w:val="1"/>
    </w:pPr>
    <w:rPr>
      <w:rFonts w:asciiTheme="majorHAnsi" w:cstheme="majorBidi" w:eastAsiaTheme="majorEastAsia" w:hAnsiTheme="majorHAnsi"/>
      <w:b/>
      <w:bCs/>
      <w:color w:themeColor="accent1" w:val="4F81BD"/>
      <w:sz w:val="28"/>
      <w:szCs w:val="28"/>
    </w:rPr>
  </w:style>
  <w:style w:styleId="Heading3" w:type="paragraph">
    <w:name w:val="Heading 3"/>
    <w:basedOn w:val="Normal"/>
    <w:next w:val="BodyText"/>
    <w:uiPriority w:val="9"/>
    <w:unhideWhenUsed/>
    <w:qFormat/>
    <w:pPr>
      <w:keepNext/>
      <w:keepLines/>
      <w:spacing w:after="0" w:before="200"/>
      <w:outlineLvl w:val="2"/>
    </w:pPr>
    <w:rPr>
      <w:rFonts w:asciiTheme="majorHAnsi" w:cstheme="majorBidi" w:eastAsiaTheme="majorEastAsia" w:hAnsiTheme="majorHAnsi"/>
      <w:b/>
      <w:bCs/>
      <w:color w:themeColor="accent1" w:val="4F81BD"/>
      <w:sz w:val="24"/>
      <w:szCs w:val="24"/>
    </w:rPr>
  </w:style>
  <w:style w:styleId="Heading4" w:type="paragraph">
    <w:name w:val="Heading 4"/>
    <w:basedOn w:val="Normal"/>
    <w:next w:val="BodyText"/>
    <w:uiPriority w:val="9"/>
    <w:unhideWhenUsed/>
    <w:qFormat/>
    <w:pPr>
      <w:keepNext/>
      <w:keepLines/>
      <w:spacing w:after="0" w:before="200"/>
      <w:outlineLvl w:val="3"/>
    </w:pPr>
    <w:rPr>
      <w:rFonts w:asciiTheme="majorHAnsi" w:cstheme="majorBidi" w:eastAsiaTheme="majorEastAsia" w:hAnsiTheme="majorHAnsi"/>
      <w:i/>
      <w:bCs/>
      <w:color w:themeColor="accent1" w:val="4F81BD"/>
      <w:sz w:val="24"/>
      <w:szCs w:val="24"/>
    </w:rPr>
  </w:style>
  <w:style w:styleId="Heading5" w:type="paragraph">
    <w:name w:val="Heading 5"/>
    <w:basedOn w:val="Normal"/>
    <w:next w:val="BodyText"/>
    <w:uiPriority w:val="9"/>
    <w:unhideWhenUsed/>
    <w:qFormat/>
    <w:pPr>
      <w:keepNext/>
      <w:keepLines/>
      <w:spacing w:after="0" w:before="200"/>
      <w:outlineLvl w:val="4"/>
    </w:pPr>
    <w:rPr>
      <w:rFonts w:asciiTheme="majorHAnsi" w:cstheme="majorBidi" w:eastAsiaTheme="majorEastAsia" w:hAnsiTheme="majorHAnsi"/>
      <w:iCs/>
      <w:color w:themeColor="accent1" w:val="4F81BD"/>
      <w:sz w:val="24"/>
      <w:szCs w:val="24"/>
    </w:rPr>
  </w:style>
  <w:style w:styleId="Heading6" w:type="paragraph">
    <w:name w:val="Heading 6"/>
    <w:basedOn w:val="Normal"/>
    <w:next w:val="BodyText"/>
    <w:uiPriority w:val="9"/>
    <w:unhideWhenUsed/>
    <w:qFormat/>
    <w:pPr>
      <w:keepNext/>
      <w:keepLines/>
      <w:spacing w:after="0" w:before="200"/>
      <w:outlineLvl w:val="5"/>
    </w:pPr>
    <w:rPr>
      <w:rFonts w:asciiTheme="majorHAnsi" w:cstheme="majorBidi" w:eastAsiaTheme="majorEastAsia" w:hAnsiTheme="majorHAnsi"/>
      <w:color w:themeColor="accent1" w:val="4F81BD"/>
      <w:sz w:val="24"/>
      <w:szCs w:val="24"/>
    </w:rPr>
  </w:style>
  <w:style w:styleId="Heading7" w:type="paragraph">
    <w:name w:val="Heading 7"/>
    <w:basedOn w:val="Normal"/>
    <w:next w:val="BodyText"/>
    <w:uiPriority w:val="9"/>
    <w:unhideWhenUsed/>
    <w:qFormat/>
    <w:pPr>
      <w:keepNext/>
      <w:keepLines/>
      <w:spacing w:after="0" w:before="200"/>
      <w:outlineLvl w:val="6"/>
    </w:pPr>
    <w:rPr>
      <w:rFonts w:asciiTheme="majorHAnsi" w:cstheme="majorBidi" w:eastAsiaTheme="majorEastAsia" w:hAnsiTheme="majorHAnsi"/>
      <w:color w:themeColor="accent1" w:val="4F81BD"/>
      <w:sz w:val="24"/>
      <w:szCs w:val="24"/>
    </w:rPr>
  </w:style>
  <w:style w:styleId="Heading8" w:type="paragraph">
    <w:name w:val="Heading 8"/>
    <w:basedOn w:val="Normal"/>
    <w:next w:val="BodyText"/>
    <w:uiPriority w:val="9"/>
    <w:unhideWhenUsed/>
    <w:qFormat/>
    <w:pPr>
      <w:keepNext/>
      <w:keepLines/>
      <w:spacing w:after="0" w:before="200"/>
      <w:outlineLvl w:val="7"/>
    </w:pPr>
    <w:rPr>
      <w:rFonts w:asciiTheme="majorHAnsi" w:cstheme="majorBidi" w:eastAsiaTheme="majorEastAsia" w:hAnsiTheme="majorHAnsi"/>
      <w:color w:themeColor="accent1" w:val="4F81BD"/>
      <w:sz w:val="24"/>
      <w:szCs w:val="24"/>
    </w:rPr>
  </w:style>
  <w:style w:styleId="Heading9" w:type="paragraph">
    <w:name w:val="Heading 9"/>
    <w:basedOn w:val="Normal"/>
    <w:next w:val="BodyText"/>
    <w:uiPriority w:val="9"/>
    <w:unhideWhenUsed/>
    <w:qFormat/>
    <w:pPr>
      <w:keepNext/>
      <w:keepLines/>
      <w:spacing w:after="0" w:before="200"/>
      <w:outlineLvl w:val="8"/>
    </w:pPr>
    <w:rPr>
      <w:rFonts w:asciiTheme="majorHAnsi" w:cstheme="majorBidi" w:eastAsiaTheme="majorEastAsia" w:hAnsiTheme="majorHAnsi"/>
      <w:color w:themeColor="accent1" w:val="4F81BD"/>
      <w:sz w:val="24"/>
      <w:szCs w:val="24"/>
    </w:rPr>
  </w:style>
  <w:style w:styleId="BlockText" w:type="paragraph">
    <w:name w:val="Block Text"/>
    <w:basedOn w:val="BodyText"/>
    <w:next w:val="BodyText"/>
    <w:uiPriority w:val="9"/>
    <w:unhideWhenUsed/>
    <w:qFormat/>
    <w:pPr>
      <w:spacing w:after="100" w:before="100"/>
      <w:ind w:firstLine="0" w:left="480" w:right="480"/>
    </w:pPr>
  </w:style>
  <w:style w:styleId="FootnoteText" w:type="paragraph">
    <w:name w:val="Footnote Text"/>
    <w:basedOn w:val="Normal"/>
    <w:next w:val="FootnoteText"/>
    <w:uiPriority w:val="9"/>
    <w:unhideWhenUsed/>
    <w:qFormat/>
  </w:style>
  <w:style w:default="1" w:styleId="DefaultParagraphFont" w:type="character">
    <w:name w:val="Default Paragraph Font"/>
    <w:semiHidden/>
    <w:unhideWhenUsed/>
  </w:style>
  <w:style w:default="1" w:styleId="Table" w:type="table">
    <w:name w:val="Table"/>
    <w:basedOn w:val="TableNormal"/>
    <w:semiHidden/>
    <w:unhideWhenUsed/>
    <w:qFormat/>
    <w:tblPr>
      <w:tblInd w:type="dxa" w:w="0"/>
      <w:tblCellMar>
        <w:top w:type="dxa" w:w="0"/>
        <w:left w:type="dxa" w:w="108"/>
        <w:bottom w:type="dxa" w:w="0"/>
        <w:right w:type="dxa" w:w="108"/>
      </w:tblCellMar>
    </w:tblPr>
    <w:tblStylePr w:type="firstRow">
      <w:tblPr>
        <w:jc w:val="left"/>
        <w:tblInd w:type="dxa" w:w="0"/>
      </w:tblPr>
      <w:trPr>
        <w:jc w:val="left"/>
      </w:trPr>
      <w:tcPr>
        <w:vAlign w:val="bottom"/>
        <w:tcBorders>
          <w:bottom w:val="single"/>
        </w:tcBorders>
      </w:tcPr>
    </w:tblStylePr>
  </w:style>
  <w:style w:customStyle="1" w:styleId="DefinitionTerm" w:type="paragraph">
    <w:name w:val="Definition Term"/>
    <w:basedOn w:val="Normal"/>
    <w:next w:val="Definition"/>
    <w:pPr>
      <w:keepNext/>
      <w:keepLines/>
      <w:spacing w:after="0"/>
    </w:pPr>
    <w:rPr>
      <w:b/>
    </w:rPr>
  </w:style>
  <w:style w:customStyle="1" w:styleId="Definition" w:type="paragraph">
    <w:name w:val="Definition"/>
    <w:basedOn w:val="Normal"/>
  </w:style>
  <w:style w:styleId="Caption" w:type="paragraph">
    <w:name w:val="Caption"/>
    <w:basedOn w:val="Normal"/>
    <w:link w:val="BodyTextChar"/>
    <w:pPr>
      <w:spacing w:after="120" w:before="0"/>
    </w:pPr>
    <w:rPr>
      <w:i/>
    </w:rPr>
  </w:style>
  <w:style w:customStyle="1" w:styleId="TableCaption" w:type="paragraph">
    <w:name w:val="Table Caption"/>
    <w:basedOn w:val="Caption"/>
    <w:pPr>
      <w:keepNext/>
    </w:pPr>
  </w:style>
  <w:style w:customStyle="1" w:styleId="ImageCaption" w:type="paragraph">
    <w:name w:val="Image Caption"/>
    <w:basedOn w:val="Caption"/>
  </w:style>
  <w:style w:customStyle="1" w:styleId="Figure" w:type="paragraph">
    <w:name w:val="Figure"/>
    <w:basedOn w:val="Normal"/>
  </w:style>
  <w:style w:customStyle="1" w:styleId="CaptionedFigure" w:type="paragraph">
    <w:name w:val="Captioned Figure"/>
    <w:basedOn w:val="Figure"/>
    <w:pPr>
      <w:keepNext/>
    </w:pPr>
  </w:style>
  <w:style w:customStyle="1" w:styleId="BodyTextChar" w:type="character">
    <w:name w:val="Body Text Char"/>
    <w:basedOn w:val="DefaultParagraphFont"/>
    <w:link w:val="BodyText"/>
  </w:style>
  <w:style w:customStyle="1" w:styleId="VerbatimChar" w:type="character">
    <w:name w:val="Verbatim Char"/>
    <w:basedOn w:val="BodyTextChar"/>
    <w:rPr>
      <w:rFonts w:ascii="Consolas" w:hAnsi="Consolas"/>
      <w:sz w:val="22"/>
    </w:rPr>
  </w:style>
  <w:style w:customStyle="1" w:styleId="SectionNumber" w:type="character">
    <w:name w:val="Section Number"/>
    <w:basedOn w:val="BodyTextChar"/>
  </w:style>
  <w:style w:styleId="FootnoteReference" w:type="character">
    <w:name w:val="Footnote Reference"/>
    <w:basedOn w:val="BodyTextChar"/>
    <w:rPr>
      <w:vertAlign w:val="superscript"/>
    </w:rPr>
  </w:style>
  <w:style w:styleId="Hyperlink" w:type="character">
    <w:name w:val="Hyperlink"/>
    <w:basedOn w:val="BodyTextChar"/>
    <w:rPr>
      <w:color w:themeColor="accent1" w:val="4F81BD"/>
    </w:rPr>
  </w:style>
  <w:style w:styleId="TOCHeading" w:type="paragraph">
    <w:name w:val="TOC Heading"/>
    <w:basedOn w:val="Heading1"/>
    <w:next w:val="BodyText"/>
    <w:uiPriority w:val="39"/>
    <w:unhideWhenUsed/>
    <w:qFormat/>
    <w:pPr>
      <w:spacing w:before="240" w:line="259" w:lineRule="auto"/>
      <w:outlineLvl w:val="9"/>
    </w:pPr>
    <w:rPr>
      <w:rFonts w:asciiTheme="majorHAnsi" w:cstheme="majorBidi" w:eastAsiaTheme="majorEastAsia" w:hAnsiTheme="majorHAnsi"/>
      <w:b w:val="0"/>
      <w:bCs w:val="0"/>
      <w:color w:themeColor="accent1" w:themeShade="BF" w:val="365F91"/>
    </w:rPr>
  </w:style>
  <w:style w:type="paragraph" w:customStyle="1" w:styleId="SourceCode">
    <w:name w:val="Source Code"/>
    <w:basedOn w:val="Normal"/>
    <w:link w:val="VerbatimChar"/>
    <w:pPr>
      <w:wordWrap w:val="off"/>
    </w:pPr>
  </w:style>
  <w:style w:type="character" w:customStyle="1" w:styleId="KeywordTok">
    <w:name w:val="KeywordTok"/>
    <w:basedOn w:val="VerbatimChar"/>
    <w:rPr>
      <w:color w:val="007020"/>
      <w:b/>
    </w:rPr>
  </w:style>
  <w:style w:type="character" w:customStyle="1" w:styleId="DataTypeTok">
    <w:name w:val="DataTypeTok"/>
    <w:basedOn w:val="VerbatimChar"/>
    <w:rPr>
      <w:color w:val="902000"/>
    </w:rPr>
  </w:style>
  <w:style w:type="character" w:customStyle="1" w:styleId="DecValTok">
    <w:name w:val="DecValTok"/>
    <w:basedOn w:val="VerbatimChar"/>
    <w:rPr>
      <w:color w:val="40a070"/>
    </w:rPr>
  </w:style>
  <w:style w:type="character" w:customStyle="1" w:styleId="BaseNTok">
    <w:name w:val="BaseNTok"/>
    <w:basedOn w:val="VerbatimChar"/>
    <w:rPr>
      <w:color w:val="40a070"/>
    </w:rPr>
  </w:style>
  <w:style w:type="character" w:customStyle="1" w:styleId="FloatTok">
    <w:name w:val="FloatTok"/>
    <w:basedOn w:val="VerbatimChar"/>
    <w:rPr>
      <w:color w:val="40a070"/>
    </w:rPr>
  </w:style>
  <w:style w:type="character" w:customStyle="1" w:styleId="ConstantTok">
    <w:name w:val="ConstantTok"/>
    <w:basedOn w:val="VerbatimChar"/>
    <w:rPr>
      <w:color w:val="880000"/>
    </w:rPr>
  </w:style>
  <w:style w:type="character" w:customStyle="1" w:styleId="CharTok">
    <w:name w:val="CharTok"/>
    <w:basedOn w:val="VerbatimChar"/>
    <w:rPr>
      <w:color w:val="4070a0"/>
    </w:rPr>
  </w:style>
  <w:style w:type="character" w:customStyle="1" w:styleId="SpecialCharTok">
    <w:name w:val="SpecialCharTok"/>
    <w:basedOn w:val="VerbatimChar"/>
    <w:rPr>
      <w:color w:val="4070a0"/>
    </w:rPr>
  </w:style>
  <w:style w:type="character" w:customStyle="1" w:styleId="StringTok">
    <w:name w:val="StringTok"/>
    <w:basedOn w:val="VerbatimChar"/>
    <w:rPr>
      <w:color w:val="4070a0"/>
    </w:rPr>
  </w:style>
  <w:style w:type="character" w:customStyle="1" w:styleId="VerbatimStringTok">
    <w:name w:val="VerbatimStringTok"/>
    <w:basedOn w:val="VerbatimChar"/>
    <w:rPr>
      <w:color w:val="4070a0"/>
    </w:rPr>
  </w:style>
  <w:style w:type="character" w:customStyle="1" w:styleId="SpecialStringTok">
    <w:name w:val="SpecialStringTok"/>
    <w:basedOn w:val="VerbatimChar"/>
    <w:rPr>
      <w:color w:val="bb6688"/>
    </w:rPr>
  </w:style>
  <w:style w:type="character" w:customStyle="1" w:styleId="ImportTok">
    <w:name w:val="ImportTok"/>
    <w:basedOn w:val="VerbatimChar"/>
    <w:rPr/>
  </w:style>
  <w:style w:type="character" w:customStyle="1" w:styleId="CommentTok">
    <w:name w:val="CommentTok"/>
    <w:basedOn w:val="VerbatimChar"/>
    <w:rPr>
      <w:color w:val="60a0b0"/>
      <w:i/>
    </w:rPr>
  </w:style>
  <w:style w:type="character" w:customStyle="1" w:styleId="DocumentationTok">
    <w:name w:val="DocumentationTok"/>
    <w:basedOn w:val="VerbatimChar"/>
    <w:rPr>
      <w:color w:val="ba2121"/>
      <w:i/>
    </w:rPr>
  </w:style>
  <w:style w:type="character" w:customStyle="1" w:styleId="AnnotationTok">
    <w:name w:val="AnnotationTok"/>
    <w:basedOn w:val="VerbatimChar"/>
    <w:rPr>
      <w:color w:val="60a0b0"/>
      <w:b/>
      <w:i/>
    </w:rPr>
  </w:style>
  <w:style w:type="character" w:customStyle="1" w:styleId="CommentVarTok">
    <w:name w:val="CommentVarTok"/>
    <w:basedOn w:val="VerbatimChar"/>
    <w:rPr>
      <w:color w:val="60a0b0"/>
      <w:b/>
      <w:i/>
    </w:rPr>
  </w:style>
  <w:style w:type="character" w:customStyle="1" w:styleId="OtherTok">
    <w:name w:val="OtherTok"/>
    <w:basedOn w:val="VerbatimChar"/>
    <w:rPr>
      <w:color w:val="007020"/>
    </w:rPr>
  </w:style>
  <w:style w:type="character" w:customStyle="1" w:styleId="FunctionTok">
    <w:name w:val="FunctionTok"/>
    <w:basedOn w:val="VerbatimChar"/>
    <w:rPr>
      <w:color w:val="06287e"/>
    </w:rPr>
  </w:style>
  <w:style w:type="character" w:customStyle="1" w:styleId="VariableTok">
    <w:name w:val="VariableTok"/>
    <w:basedOn w:val="VerbatimChar"/>
    <w:rPr>
      <w:color w:val="19177c"/>
    </w:rPr>
  </w:style>
  <w:style w:type="character" w:customStyle="1" w:styleId="ControlFlowTok">
    <w:name w:val="ControlFlowTok"/>
    <w:basedOn w:val="VerbatimChar"/>
    <w:rPr>
      <w:color w:val="007020"/>
      <w:b/>
    </w:rPr>
  </w:style>
  <w:style w:type="character" w:customStyle="1" w:styleId="OperatorTok">
    <w:name w:val="OperatorTok"/>
    <w:basedOn w:val="VerbatimChar"/>
    <w:rPr>
      <w:color w:val="666666"/>
    </w:rPr>
  </w:style>
  <w:style w:type="character" w:customStyle="1" w:styleId="BuiltInTok">
    <w:name w:val="BuiltInTok"/>
    <w:basedOn w:val="VerbatimChar"/>
    <w:rPr/>
  </w:style>
  <w:style w:type="character" w:customStyle="1" w:styleId="ExtensionTok">
    <w:name w:val="ExtensionTok"/>
    <w:basedOn w:val="VerbatimChar"/>
    <w:rPr/>
  </w:style>
  <w:style w:type="character" w:customStyle="1" w:styleId="PreprocessorTok">
    <w:name w:val="PreprocessorTok"/>
    <w:basedOn w:val="VerbatimChar"/>
    <w:rPr>
      <w:color w:val="bc7a00"/>
    </w:rPr>
  </w:style>
  <w:style w:type="character" w:customStyle="1" w:styleId="AttributeTok">
    <w:name w:val="AttributeTok"/>
    <w:basedOn w:val="VerbatimChar"/>
    <w:rPr>
      <w:color w:val="7d9029"/>
    </w:rPr>
  </w:style>
  <w:style w:type="character" w:customStyle="1" w:styleId="RegionMarkerTok">
    <w:name w:val="RegionMarkerTok"/>
    <w:basedOn w:val="VerbatimChar"/>
    <w:rPr/>
  </w:style>
  <w:style w:type="character" w:customStyle="1" w:styleId="InformationTok">
    <w:name w:val="InformationTok"/>
    <w:basedOn w:val="VerbatimChar"/>
    <w:rPr>
      <w:color w:val="60a0b0"/>
      <w:b/>
      <w:i/>
    </w:rPr>
  </w:style>
  <w:style w:type="character" w:customStyle="1" w:styleId="WarningTok">
    <w:name w:val="WarningTok"/>
    <w:basedOn w:val="VerbatimChar"/>
    <w:rPr>
      <w:color w:val="60a0b0"/>
      <w:b/>
      <w:i/>
    </w:rPr>
  </w:style>
  <w:style w:type="character" w:customStyle="1" w:styleId="AlertTok">
    <w:name w:val="AlertTok"/>
    <w:basedOn w:val="VerbatimChar"/>
    <w:rPr>
      <w:color w:val="ff0000"/>
      <w:b/>
    </w:rPr>
  </w:style>
  <w:style w:type="character" w:customStyle="1" w:styleId="ErrorTok">
    <w:name w:val="ErrorTok"/>
    <w:basedOn w:val="VerbatimChar"/>
    <w:rPr>
      <w:color w:val="ff0000"/>
      <w:b/>
    </w:rPr>
  </w:style>
  <w:style w:type="character" w:customStyle="1" w:styleId="NormalTok">
    <w:name w:val="NormalTok"/>
    <w:basedOn w:val="VerbatimChar"/>
    <w:rPr/>
  </w:style>
</w:styles>
</file>

<file path=word/webSettings.xml><?xml version="1.0" encoding="utf-8"?>
<ns0:webSettings xmlns:ns0="http://schemas.openxmlformats.org/wordprocessingml/2006/main">
  <ns0:allowPNG/>
  <ns0:doNotSaveAsSingleFile/>
</ns0:webSettings>
</file>

<file path=word/_rels/document.xml.rels><?xml version="1.0" encoding="UTF-8"?><Relationships xmlns="http://schemas.openxmlformats.org/package/2006/relationships"><Relationship Type="http://schemas.openxmlformats.org/officeDocument/2006/relationships/numbering" Id="rId1" Target="numbering.xml" /><Relationship Type="http://schemas.openxmlformats.org/officeDocument/2006/relationships/styles" Id="rId2" Target="styles.xml" /><Relationship Type="http://schemas.openxmlformats.org/officeDocument/2006/relationships/settings" Id="rId3" Target="settings.xml" /><Relationship Type="http://schemas.openxmlformats.org/officeDocument/2006/relationships/webSettings" Id="rId4" Target="webSettings.xml" /><Relationship Type="http://schemas.openxmlformats.org/officeDocument/2006/relationships/fontTable" Id="rId5" Target="fontTable.xml" /><Relationship Type="http://schemas.openxmlformats.org/officeDocument/2006/relationships/theme" Id="rId6" Target="theme/theme1.xml" /><Relationship Type="http://schemas.openxmlformats.org/officeDocument/2006/relationships/footnotes" Id="rId7" Target="footnotes.xml" /><Relationship Type="http://schemas.openxmlformats.org/officeDocument/2006/relationships/comments" Id="rId8" Target="comments.xml" /><Relationship Type="http://schemas.openxmlformats.org/officeDocument/2006/relationships/hyperlink" Id="rId21" Target="http://brateevo.mos.ru" TargetMode="External" /><Relationship Type="http://schemas.openxmlformats.org/officeDocument/2006/relationships/hyperlink" Id="rId20" Target="http://brateevo.mos.ru/anti-terrorism-security/detail/7740993.html" TargetMode="External" /></Relationships>
</file>

<file path=word/_rels/footnotes.xml.rels><?xml version="1.0" encoding="UTF-8"?><Relationships xmlns="http://schemas.openxmlformats.org/package/2006/relationships"><Relationship Type="http://schemas.openxmlformats.org/officeDocument/2006/relationships/hyperlink" Id="rId21" Target="http://brateevo.mos.ru" TargetMode="External" /><Relationship Type="http://schemas.openxmlformats.org/officeDocument/2006/relationships/hyperlink" Id="rId20" Target="http://brateevo.mos.ru/anti-terrorism-security/detail/7740993.html" TargetMode="External" /></Relationships>
</file>

<file path=word/theme/theme1.xml><?xml version="1.0" encoding="utf-8"?>
<a:theme xmlns:a="http://schemas.openxmlformats.org/drawingml/2006/main" name="Office Theme">
  <a:themeElements>
    <a:clrScheme name="Office">
      <a:dk1>
        <a:sysClr val="windowText" lastClr="000000"/>
      </a:dk1>
      <a:lt1>
        <a:sysClr val="window" lastClr="FFFFFF"/>
      </a:lt1>
      <a:dk2>
        <a:srgbClr val="1F497D"/>
      </a:dk2>
      <a:lt2>
        <a:srgbClr val="EEECE1"/>
      </a:lt2>
      <a:accent1>
        <a:srgbClr val="4F81BD"/>
      </a:accent1>
      <a:accent2>
        <a:srgbClr val="C0504D"/>
      </a:accent2>
      <a:accent3>
        <a:srgbClr val="9BBB59"/>
      </a:accent3>
      <a:accent4>
        <a:srgbClr val="8064A2"/>
      </a:accent4>
      <a:accent5>
        <a:srgbClr val="4BACC6"/>
      </a:accent5>
      <a:accent6>
        <a:srgbClr val="F79646"/>
      </a:accent6>
      <a:hlink>
        <a:srgbClr val="0000FF"/>
      </a:hlink>
      <a:folHlink>
        <a:srgbClr val="800080"/>
      </a:folHlink>
    </a:clrScheme>
    <a:fontScheme name="Office">
      <a:majorFont>
        <a:latin typeface="Calibri"/>
        <a:ea typeface=""/>
        <a:cs typeface=""/>
        <a:font script="Jpan" typeface="ＭＳ ゴシック"/>
        <a:font script="Hang" typeface="맑은 고딕"/>
        <a:font script="Hans" typeface="宋体"/>
        <a:font script="Hant" typeface="新細明體"/>
        <a:font script="Arab" typeface="Times New Roman"/>
        <a:font script="Hebr" typeface="Times New Roman"/>
        <a:font script="Thai" typeface="Angsana New"/>
        <a:font script="Ethi" typeface="Nyala"/>
        <a:font script="Beng" typeface="Vrinda"/>
        <a:font script="Gujr" typeface="Shruti"/>
        <a:font script="Khmr" typeface="MoolBoran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Times New Roman"/>
        <a:font script="Uigh" typeface="Microsoft Uighur"/>
      </a:majorFont>
      <a:minorFont>
        <a:latin typeface="Cambria"/>
        <a:ea typeface=""/>
        <a:cs typeface=""/>
        <a:font script="Jpan" typeface="ＭＳ 明朝"/>
        <a:font script="Hang" typeface="맑은 고딕"/>
        <a:font script="Hans" typeface="宋体"/>
        <a:font script="Hant" typeface="新細明體"/>
        <a:font script="Arab" typeface="Arial"/>
        <a:font script="Hebr" typeface="Arial"/>
        <a:font script="Thai" typeface="Cordia New"/>
        <a:font script="Ethi" typeface="Nyala"/>
        <a:font script="Beng" typeface="Vrinda"/>
        <a:font script="Gujr" typeface="Shruti"/>
        <a:font script="Khmr" typeface="DaunPenh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Arial"/>
        <a:font script="Uigh" typeface="Microsoft Uighur"/>
      </a:minorFont>
    </a:fontScheme>
    <a:fmtScheme name="Office">
      <a:fillStyleLst>
        <a:solidFill>
          <a:schemeClr val="phClr"/>
        </a:solidFill>
        <a:gradFill rotWithShape="1">
          <a:gsLst>
            <a:gs pos="0">
              <a:schemeClr val="phClr">
                <a:tint val="50000"/>
                <a:satMod val="300000"/>
              </a:schemeClr>
            </a:gs>
            <a:gs pos="35000">
              <a:schemeClr val="phClr">
                <a:tint val="37000"/>
                <a:satMod val="300000"/>
              </a:schemeClr>
            </a:gs>
            <a:gs pos="100000">
              <a:schemeClr val="phClr">
                <a:tint val="15000"/>
                <a:satMod val="350000"/>
              </a:schemeClr>
            </a:gs>
          </a:gsLst>
          <a:lin ang="16200000" scaled="1"/>
        </a:gradFill>
        <a:gradFill rotWithShape="1">
          <a:gsLst>
            <a:gs pos="0">
              <a:schemeClr val="phClr">
                <a:tint val="100000"/>
                <a:shade val="100000"/>
                <a:satMod val="130000"/>
              </a:schemeClr>
            </a:gs>
            <a:gs pos="100000">
              <a:schemeClr val="phClr">
                <a:tint val="50000"/>
                <a:shade val="100000"/>
                <a:satMod val="350000"/>
              </a:schemeClr>
            </a:gs>
          </a:gsLst>
          <a:lin ang="16200000" scaled="0"/>
        </a:gradFill>
      </a:fillStyleLst>
      <a:lnStyleLst>
        <a:ln w="9525" cap="flat" cmpd="sng" algn="ctr">
          <a:solidFill>
            <a:schemeClr val="phClr">
              <a:shade val="95000"/>
              <a:satMod val="105000"/>
            </a:schemeClr>
          </a:solidFill>
          <a:prstDash val="solid"/>
        </a:ln>
        <a:ln w="25400" cap="flat" cmpd="sng" algn="ctr">
          <a:solidFill>
            <a:schemeClr val="phClr"/>
          </a:solidFill>
          <a:prstDash val="solid"/>
        </a:ln>
        <a:ln w="38100" cap="flat" cmpd="sng" algn="ctr">
          <a:solidFill>
            <a:schemeClr val="phClr"/>
          </a:solidFill>
          <a:prstDash val="solid"/>
        </a:ln>
      </a:lnStyleLst>
      <a:effectStyleLst>
        <a:effectStyle>
          <a:effectLst>
            <a:outerShdw blurRad="40000" dist="20000" dir="5400000" rotWithShape="0">
              <a:srgbClr val="000000">
                <a:alpha val="38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  <a:scene3d>
            <a:camera prst="orthographicFront">
              <a:rot lat="0" lon="0" rev="0"/>
            </a:camera>
            <a:lightRig rig="threePt" dir="t">
              <a:rot lat="0" lon="0" rev="1200000"/>
            </a:lightRig>
          </a:scene3d>
          <a:sp3d>
            <a:bevelT w="63500" h="25400"/>
          </a:sp3d>
        </a:effectStyle>
      </a:effectStyleLst>
      <a:bgFillStyleLst>
        <a:solidFill>
          <a:schemeClr val="phClr"/>
        </a:solidFill>
        <a:gradFill rotWithShape="1">
          <a:gsLst>
            <a:gs pos="0">
              <a:schemeClr val="phClr">
                <a:tint val="40000"/>
                <a:satMod val="350000"/>
              </a:schemeClr>
            </a:gs>
            <a:gs pos="40000">
              <a:schemeClr val="phClr">
                <a:tint val="45000"/>
                <a:shade val="99000"/>
                <a:satMod val="350000"/>
              </a:schemeClr>
            </a:gs>
            <a:gs pos="100000">
              <a:schemeClr val="phClr">
                <a:shade val="20000"/>
                <a:satMod val="255000"/>
              </a:schemeClr>
            </a:gs>
          </a:gsLst>
          <a:path path="circle">
            <a:fillToRect l="50000" t="-80000" r="50000" b="180000"/>
          </a:path>
        </a:gradFill>
        <a:gradFill rotWithShape="1">
          <a:gsLst>
            <a:gs pos="0">
              <a:schemeClr val="phClr">
                <a:tint val="80000"/>
                <a:satMod val="300000"/>
              </a:schemeClr>
            </a:gs>
            <a:gs pos="100000">
              <a:schemeClr val="phClr">
                <a:shade val="30000"/>
                <a:satMod val="200000"/>
              </a:schemeClr>
            </a:gs>
          </a:gsLst>
          <a:path path="circle">
            <a:fillToRect l="50000" t="50000" r="50000" b="50000"/>
          </a:path>
        </a:gradFill>
      </a:bgFillStyleLst>
    </a:fmtScheme>
  </a:themeElements>
  <a:objectDefaults>
    <a:spDef>
      <a:spPr/>
      <a:bodyPr/>
      <a:lstStyle/>
      <a:style>
        <a:lnRef idx="1">
          <a:schemeClr val="accent1"/>
        </a:lnRef>
        <a:fillRef idx="3">
          <a:schemeClr val="accent1"/>
        </a:fillRef>
        <a:effectRef idx="2">
          <a:schemeClr val="accent1"/>
        </a:effectRef>
        <a:fontRef idx="minor">
          <a:schemeClr val="lt1"/>
        </a:fontRef>
      </a:style>
    </a:spDef>
    <a:lnDef>
      <a:spPr/>
      <a:bodyPr/>
      <a:lstStyle/>
      <a:style>
        <a:lnRef idx="2">
          <a:schemeClr val="accent1"/>
        </a:lnRef>
        <a:fillRef idx="0">
          <a:schemeClr val="accent1"/>
        </a:fillRef>
        <a:effectRef idx="1">
          <a:schemeClr val="accent1"/>
        </a:effectRef>
        <a:fontRef idx="minor">
          <a:schemeClr val="tx1"/>
        </a:fontRef>
      </a:style>
    </a:lnDef>
  </a:objectDefaults>
  <a:extraClrSchemeLst/>
</a:theme>
</file>

<file path=docProps/app.xml><?xml version="1.0" encoding="utf-8"?>
<Properties xmlns="http://schemas.openxmlformats.org/officeDocument/2006/extended-properties" xmlns:vt="http://schemas.openxmlformats.org/officeDocument/2006/docPropsVTypes">
  <Words>83</Words>
  <SharedDoc>false</SharedDoc>
  <HyperlinksChanged>false</HyperlinksChanged>
  <Lines>12</Lines>
  <AppVersion>12.0000</AppVersion>
  <LinksUpToDate>false</LinksUpToDate>
  <Application>Microsoft Word 12.0.0</Application>
  <CharactersWithSpaces>583</CharactersWithSpaces>
  <Template>Normal.dotm</Template>
  <DocSecurity>0</DocSecurity>
  <TotalTime>6</TotalTime>
  <ScaleCrop>false</ScaleCrop>
  <Characters>475</Characters>
  <Paragraphs>8</Paragraphs>
  <Pages>1</Pages>
</Properties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:title/>
  <dc:creator/>
  <cp:keywords/>
  <dcterms:created xsi:type="dcterms:W3CDTF">2025-07-15T14:28:51Z</dcterms:created>
  <dcterms:modified xsi:type="dcterms:W3CDTF">2025-07-15T14:28:51Z</dcterms:modified>
</cp:coreProperties>
</file>

<file path=docProps/custom.xml><?xml version="1.0" encoding="utf-8"?>
<Properties xmlns="http://schemas.openxmlformats.org/officeDocument/2006/custom-properties" xmlns:vt="http://schemas.openxmlformats.org/officeDocument/2006/docPropsVTypes"/>
</file>