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4e7439a09dc831e39c5321810620c4f52d998d"/>
    <w:p>
      <w:pPr>
        <w:pStyle w:val="Heading3"/>
      </w:pPr>
      <w:r>
        <w:t xml:space="preserve">Положение о Комиссии по соблюдению требований к служебному поведению государственных гражданских служащих префектуры Южного административного округа города Москвы и урегулирования конфликта интересов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hyperlink r:id="rId20">
        <w:r>
          <w:rPr>
            <w:rStyle w:val="Hyperlink"/>
          </w:rPr>
          <w:t xml:space="preserve">Положение о Комиссии по соблюдению требований к служебному поведению государственных гражданских служащих префектуры Южного административного округа города Москвы и урегулирования конфликта интересов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http://brateevo.mos.ru/anti-corruption/the-commission-for-observance-of-requirements-for-the-official-behaviour-of-state-civil-employees-of/detail/10340248.html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6;&#1083;&#1086;&#1078;&#1077;&#1085;&#1080;&#1077;.doc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anti-corruption/the-commission-for-observance-of-requirements-for-the-official-behaviour-of-state-civil-employees-of/detail/10340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6;&#1083;&#1086;&#1078;&#1077;&#1085;&#1080;&#1077;.doc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anti-corruption/the-commission-for-observance-of-requirements-for-the-official-behaviour-of-state-civil-employees-of/detail/10340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2025-04-10T03:07:25Z</dcterms:created>
  <dcterms:modified xsi:type="dcterms:W3CDTF">2025-04-10T03:07:25Z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