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9db0fca2c81dc7708b3c444f521f6e7e1dcefe"/>
    <w:p>
      <w:pPr>
        <w:pStyle w:val="Heading3"/>
      </w:pPr>
      <w:r>
        <w:t xml:space="preserve">Памятка типовых случаев конфликта интересов на государственной службе и порядка их урегулирования в префектуре Южного административного округа города Москвы</w:t>
      </w:r>
    </w:p>
    <w:p>
      <w:pPr>
        <w:pStyle w:val="FirstParagraph"/>
      </w:pPr>
      <w:r>
        <w:t xml:space="preserve">20.10.2021</w:t>
      </w:r>
    </w:p>
    <w:p>
      <w:pPr>
        <w:pStyle w:val="BodyText"/>
      </w:pPr>
      <w:hyperlink r:id="rId20">
        <w:r>
          <w:rPr>
            <w:rStyle w:val="Hyperlink"/>
          </w:rPr>
          <w:t xml:space="preserve">Памятка типовых случаев конфликта интересов на государственной службе и порядка их урегулирования в префектуре Южного административного округа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http://brateevo.mos.ru/anti-corruption/the-commission-for-observance-of-requirements-for-the-official-behaviour-of-state-civil-employees-of/detail/10340229.html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amyatka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anti-corruption/the-commission-for-observance-of-requirements-for-the-official-behaviour-of-state-civil-employees-of/detail/103402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amyatka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anti-corruption/the-commission-for-observance-of-requirements-for-the-official-behaviour-of-state-civil-employees-of/detail/103402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2025-04-10T03:06:40Z</dcterms:created>
  <dcterms:modified xsi:type="dcterms:W3CDTF">2025-04-10T03:06:40Z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