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став-комиссии"/>
    <w:p>
      <w:pPr>
        <w:pStyle w:val="Heading3"/>
      </w:pPr>
      <w:r>
        <w:t xml:space="preserve">Состав комиссии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Состав комиссии по соблюдению требований к служебному поведению государственных гражданских служащих управы района Братеево  города Москвы и урегулированию конфликта интересов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http://brateevo.mos.ru/anti-corruption/the-commission-for-observance-of-requirements-for-the-official-behaviour-of-state-civil-employees-of/detail/1033023.html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1033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1033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2025-04-10T03:06:23Z</dcterms:created>
  <dcterms:modified xsi:type="dcterms:W3CDTF">2025-04-10T03:06:23Z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