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f02be96e113a0e35a554c01fefd508ff62909"/>
    <w:p>
      <w:pPr>
        <w:pStyle w:val="Heading3"/>
      </w:pPr>
      <w:r>
        <w:t xml:space="preserve">Контроль за соответствием расходов государственных и муниципальных служащих их доходам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rPr>
          <w:iCs/>
          <w:i/>
        </w:rPr>
        <w:t xml:space="preserve">Памятка для служащих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http://brateevo.mos.ru/anti-corruption/methodical-materials/detail/7822142.html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methodical-materials/detail/7822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methodical-materials/detail/7822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2025-04-10T02:58:58Z</dcterms:created>
  <dcterms:modified xsi:type="dcterms:W3CDTF">2025-04-10T02:58:58Z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