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отиводействие-коррупции-в-спорте"/>
    <w:p>
      <w:pPr>
        <w:pStyle w:val="Heading3"/>
      </w:pPr>
      <w:r>
        <w:t xml:space="preserve">ПРОТИВОДЕЙСТВИЕ КОРРУПЦИИ В СПОРТЕ</w:t>
      </w:r>
    </w:p>
    <w:p>
      <w:pPr>
        <w:pStyle w:val="FirstParagraph"/>
      </w:pPr>
      <w:r>
        <w:t xml:space="preserve">16.01.2019</w:t>
      </w:r>
    </w:p>
    <w:p>
      <w:pPr>
        <w:pStyle w:val="BodyText"/>
      </w:pPr>
      <w:r>
        <w:rPr>
          <w:iCs/>
          <w:i/>
        </w:rPr>
        <w:t xml:space="preserve">Памятка по противодействию коррупции в спорте…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http://brateevo.mos.ru/anti-corruption/methodical-materials/detail/7822083.html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anti-corruption/methodical-materials/detail/78220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anti-corruption/methodical-materials/detail/78220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2024-08-25T17:02:59Z</dcterms:created>
  <dcterms:modified xsi:type="dcterms:W3CDTF">2024-08-25T17:02:59Z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