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мятка-для-предпринимателей"/>
    <w:p>
      <w:pPr>
        <w:pStyle w:val="Heading3"/>
      </w:pPr>
      <w:r>
        <w:t xml:space="preserve">Памятка для предпринимателей</w:t>
      </w:r>
    </w:p>
    <w:p>
      <w:pPr>
        <w:pStyle w:val="FirstParagraph"/>
      </w:pPr>
      <w:r>
        <w:t xml:space="preserve">16.01.2019</w:t>
      </w:r>
    </w:p>
    <w:p>
      <w:pPr>
        <w:pStyle w:val="BodyText"/>
      </w:pPr>
      <w:r>
        <w:t xml:space="preserve">Настоящая памятка служит защите прав предпринимателей от коррупционных посягательств, разъясняет основные антикоррупционные права и обязанности хозяйствующих субъектов в сфере противодействия коррупции, порядок законной реализации антикоррупционных требований, содержит сведения об ответственности за их нарушение.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http://brateevo.mos.ru/anti-corruption/methodical-materials/detail/7822075.html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anti-corruption/methodical-materials/detail/78220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anti-corruption/methodical-materials/detail/78220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2024-01-25T17:33:06Z</dcterms:created>
  <dcterms:modified xsi:type="dcterms:W3CDTF">2024-01-25T17:33:06Z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