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6132e5bf4e59920726155ea0dd1b16a350599"/>
    <w:p>
      <w:pPr>
        <w:pStyle w:val="Heading3"/>
      </w:pPr>
      <w:r>
        <w:t xml:space="preserve">Пример заполнения справок о доходах, об имуществе и обязательствах имущественного характера</w:t>
      </w:r>
    </w:p>
    <w:p>
      <w:pPr>
        <w:pStyle w:val="FirstParagraph"/>
      </w:pPr>
      <w:r>
        <w:t xml:space="preserve">12.05.2014</w:t>
      </w:r>
    </w:p>
    <w:p>
      <w:pPr>
        <w:pStyle w:val="BodyText"/>
      </w:pPr>
      <w:r>
        <w:t xml:space="preserve">Справки о доходах, об имуществе и обязательствах имущественного характера лиц, замещающих государственные должности города Москвы и должности государственной гражданской службы города Москвы, супругов и несовершеннолетних детей лиц, замещающих государственные должности города Москвы и должности государственной гражданской службы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http://brateevo.mos.ru/anti-corruption/forms-of-documents-related-to-anti-corruption-for-filling/detail/1033040.html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corruption/forms-of-documents-related-to-anti-corruption-for-filling/detail/10330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anti-corruption/forms-of-documents-related-to-anti-corruption-for-filling/detail/10330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2025-04-10T02:52:15Z</dcterms:created>
  <dcterms:modified xsi:type="dcterms:W3CDTF">2025-04-10T02:52:15Z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