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b58cb6a49f321223b35fdb18b83314bfebbb19"/>
    <w:p>
      <w:pPr>
        <w:pStyle w:val="Heading3"/>
      </w:pPr>
      <w:r>
        <w:t xml:space="preserve">План-график проведения вакцинации домашних животных против бешенства на прививочных пунктах Южного административного округа г.Москвы на 2016 год.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drawing>
          <wp:inline>
            <wp:extent cx="5334000" cy="75529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1111111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71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2222222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00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33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716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444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http://brateevo.mos.ru/animals-are-looking-for-a-new-owner/detail/2382121.html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animals-are-looking-for-a-new-owner/detail/2382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animals-are-looking-for-a-new-owner/detail/2382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2025-04-10T02:47:46Z</dcterms:created>
  <dcterms:modified xsi:type="dcterms:W3CDTF">2025-04-10T02:47:46Z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